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方正黑体_GBK" w:hAnsi="方正黑体_GBK" w:eastAsia="方正黑体_GBK" w:cs="方正黑体_GBK"/>
          <w:sz w:val="28"/>
          <w:szCs w:val="28"/>
          <w:highlight w:val="none"/>
          <w:lang w:val="en"/>
        </w:rPr>
      </w:pPr>
      <w:bookmarkStart w:id="0" w:name="_GoBack"/>
      <w:bookmarkEnd w:id="0"/>
      <w:r>
        <w:rPr>
          <w:rFonts w:hint="eastAsia" w:ascii="方正黑体_GBK" w:hAnsi="方正黑体_GBK" w:eastAsia="方正黑体_GBK" w:cs="方正黑体_GBK"/>
          <w:sz w:val="28"/>
          <w:szCs w:val="28"/>
          <w:highlight w:val="none"/>
          <w:lang w:val="en"/>
        </w:rPr>
        <w:t>HNPR-2024-13008</w:t>
      </w:r>
    </w:p>
    <w:p>
      <w:pPr>
        <w:snapToGrid w:val="0"/>
        <w:rPr>
          <w:rFonts w:eastAsia="黑体"/>
          <w:highlight w:val="none"/>
        </w:rPr>
      </w:pPr>
    </w:p>
    <w:p>
      <w:pPr>
        <w:rPr>
          <w:highlight w:val="none"/>
        </w:rPr>
      </w:pPr>
    </w:p>
    <w:p>
      <w:pPr>
        <w:spacing w:after="115" w:afterLines="20"/>
        <w:jc w:val="center"/>
        <w:rPr>
          <w:rFonts w:hint="eastAsia" w:ascii="方正仿宋_GBK" w:hAnsi="方正仿宋_GBK" w:eastAsia="方正仿宋_GBK" w:cs="方正仿宋_GBK"/>
          <w:highlight w:val="none"/>
          <w:lang w:val="en"/>
        </w:rPr>
      </w:pPr>
      <w:r>
        <w:rPr>
          <w:rFonts w:hint="eastAsia" w:ascii="方正仿宋_GBK" w:hAnsi="方正仿宋_GBK" w:eastAsia="方正仿宋_GBK" w:cs="方正仿宋_GBK"/>
          <w:szCs w:val="32"/>
          <w:highlight w:val="none"/>
          <w:lang w:val="en"/>
        </w:rPr>
        <w:t>湘环发〔2024〕46号</w:t>
      </w:r>
    </w:p>
    <w:p>
      <w:pPr>
        <w:keepNext w:val="0"/>
        <w:keepLines w:val="0"/>
        <w:pageBreakBefore w:val="0"/>
        <w:widowControl w:val="0"/>
        <w:kinsoku/>
        <w:wordWrap/>
        <w:overflowPunct/>
        <w:topLinePunct w:val="0"/>
        <w:autoSpaceDE/>
        <w:autoSpaceDN/>
        <w:bidi w:val="0"/>
        <w:adjustRightInd w:val="0"/>
        <w:snapToGrid w:val="0"/>
        <w:spacing w:before="700" w:after="500" w:line="760" w:lineRule="exact"/>
        <w:jc w:val="center"/>
        <w:textAlignment w:val="auto"/>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关于印发《湖南省水泥和焦化行业超低排放</w:t>
      </w:r>
      <w:r>
        <w:rPr>
          <w:rFonts w:hint="eastAsia" w:ascii="方正小标宋_GBK" w:hAnsi="方正小标宋_GBK" w:eastAsia="方正小标宋_GBK" w:cs="方正小标宋_GBK"/>
          <w:kern w:val="0"/>
          <w:sz w:val="44"/>
          <w:szCs w:val="44"/>
          <w:highlight w:val="none"/>
        </w:rPr>
        <w:br w:type="textWrapping"/>
      </w:r>
      <w:r>
        <w:rPr>
          <w:rFonts w:hint="eastAsia" w:ascii="方正小标宋_GBK" w:hAnsi="方正小标宋_GBK" w:eastAsia="方正小标宋_GBK" w:cs="方正小标宋_GBK"/>
          <w:kern w:val="0"/>
          <w:sz w:val="44"/>
          <w:szCs w:val="44"/>
          <w:highlight w:val="none"/>
        </w:rPr>
        <w:t>改造实施方案》的通知</w:t>
      </w:r>
    </w:p>
    <w:p>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textAlignment w:val="auto"/>
        <w:rPr>
          <w:rFonts w:hint="eastAsia" w:ascii="方正仿宋_GBK" w:hAnsi="方正仿宋_GBK" w:eastAsia="方正仿宋_GBK" w:cs="方正仿宋_GBK"/>
          <w:snapToGrid w:val="0"/>
          <w:color w:val="auto"/>
          <w:kern w:val="21"/>
          <w:sz w:val="32"/>
          <w:szCs w:val="32"/>
          <w:highlight w:val="none"/>
        </w:rPr>
      </w:pPr>
      <w:r>
        <w:rPr>
          <w:rFonts w:hint="eastAsia" w:ascii="方正仿宋_GBK" w:hAnsi="方正仿宋_GBK" w:eastAsia="方正仿宋_GBK" w:cs="方正仿宋_GBK"/>
          <w:snapToGrid w:val="0"/>
          <w:color w:val="auto"/>
          <w:kern w:val="21"/>
          <w:sz w:val="32"/>
          <w:szCs w:val="32"/>
          <w:highlight w:val="none"/>
        </w:rPr>
        <w:t>各市州生态环境局、</w:t>
      </w:r>
      <w:r>
        <w:rPr>
          <w:rFonts w:hint="eastAsia" w:ascii="方正仿宋_GBK" w:hAnsi="方正仿宋_GBK" w:eastAsia="方正仿宋_GBK" w:cs="方正仿宋_GBK"/>
          <w:snapToGrid w:val="0"/>
          <w:color w:val="auto"/>
          <w:kern w:val="21"/>
          <w:sz w:val="32"/>
          <w:szCs w:val="32"/>
          <w:highlight w:val="none"/>
          <w:lang w:val="en-US" w:eastAsia="zh-CN"/>
        </w:rPr>
        <w:t>发展改革委、工业和信息化局、财政局、交通运输局，相关省属监管企业</w:t>
      </w:r>
      <w:r>
        <w:rPr>
          <w:rFonts w:hint="eastAsia" w:ascii="方正仿宋_GBK" w:hAnsi="方正仿宋_GBK" w:eastAsia="方正仿宋_GBK" w:cs="方正仿宋_GBK"/>
          <w:snapToGrid w:val="0"/>
          <w:color w:val="auto"/>
          <w:kern w:val="21"/>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r>
        <w:rPr>
          <w:rFonts w:hint="eastAsia" w:ascii="方正仿宋_GBK" w:hAnsi="方正仿宋_GBK" w:eastAsia="方正仿宋_GBK" w:cs="方正仿宋_GBK"/>
          <w:snapToGrid w:val="0"/>
          <w:color w:val="auto"/>
          <w:kern w:val="21"/>
          <w:sz w:val="32"/>
          <w:szCs w:val="32"/>
          <w:highlight w:val="none"/>
        </w:rPr>
        <w:t>为贯彻落实《</w:t>
      </w:r>
      <w:r>
        <w:rPr>
          <w:rFonts w:hint="eastAsia" w:ascii="方正仿宋_GBK" w:hAnsi="方正仿宋_GBK" w:eastAsia="方正仿宋_GBK" w:cs="方正仿宋_GBK"/>
          <w:snapToGrid w:val="0"/>
          <w:color w:val="auto"/>
          <w:kern w:val="21"/>
          <w:sz w:val="32"/>
          <w:szCs w:val="32"/>
          <w:highlight w:val="none"/>
          <w:lang w:val="en-US" w:eastAsia="zh-CN"/>
        </w:rPr>
        <w:t>生态环境部等五部门</w:t>
      </w:r>
      <w:r>
        <w:rPr>
          <w:rFonts w:hint="eastAsia" w:ascii="方正仿宋_GBK" w:hAnsi="方正仿宋_GBK" w:eastAsia="方正仿宋_GBK" w:cs="方正仿宋_GBK"/>
          <w:snapToGrid w:val="0"/>
          <w:color w:val="auto"/>
          <w:kern w:val="21"/>
          <w:sz w:val="32"/>
          <w:szCs w:val="32"/>
          <w:highlight w:val="none"/>
        </w:rPr>
        <w:t>关于印发&lt;关于推进实施水泥行业超低排放的意见&gt;&lt;关于推进实施焦化行业超低排放的意见&gt;的通知》（环大气〔2024〕5号）</w:t>
      </w:r>
      <w:r>
        <w:rPr>
          <w:rFonts w:hint="eastAsia" w:ascii="方正仿宋_GBK" w:hAnsi="方正仿宋_GBK" w:eastAsia="方正仿宋_GBK" w:cs="方正仿宋_GBK"/>
          <w:snapToGrid w:val="0"/>
          <w:color w:val="auto"/>
          <w:kern w:val="21"/>
          <w:sz w:val="32"/>
          <w:szCs w:val="32"/>
          <w:highlight w:val="none"/>
          <w:lang w:eastAsia="zh-CN"/>
        </w:rPr>
        <w:t>、</w:t>
      </w:r>
      <w:r>
        <w:rPr>
          <w:rFonts w:hint="eastAsia" w:ascii="方正仿宋_GBK" w:hAnsi="方正仿宋_GBK" w:eastAsia="方正仿宋_GBK" w:cs="方正仿宋_GBK"/>
          <w:snapToGrid w:val="0"/>
          <w:color w:val="auto"/>
          <w:kern w:val="21"/>
          <w:sz w:val="32"/>
          <w:szCs w:val="32"/>
          <w:highlight w:val="none"/>
        </w:rPr>
        <w:t>《</w:t>
      </w:r>
      <w:r>
        <w:rPr>
          <w:rFonts w:hint="eastAsia" w:ascii="方正仿宋_GBK" w:hAnsi="方正仿宋_GBK" w:eastAsia="方正仿宋_GBK" w:cs="方正仿宋_GBK"/>
          <w:snapToGrid w:val="0"/>
          <w:color w:val="auto"/>
          <w:kern w:val="21"/>
          <w:sz w:val="32"/>
          <w:szCs w:val="32"/>
          <w:highlight w:val="none"/>
          <w:lang w:val="en-US" w:eastAsia="zh-CN"/>
        </w:rPr>
        <w:t>生态环境部办公厅</w:t>
      </w:r>
      <w:r>
        <w:rPr>
          <w:rFonts w:hint="eastAsia" w:ascii="方正仿宋_GBK" w:hAnsi="方正仿宋_GBK" w:eastAsia="方正仿宋_GBK" w:cs="方正仿宋_GBK"/>
          <w:snapToGrid w:val="0"/>
          <w:color w:val="auto"/>
          <w:kern w:val="21"/>
          <w:sz w:val="32"/>
          <w:szCs w:val="32"/>
          <w:highlight w:val="none"/>
        </w:rPr>
        <w:t>关于做好水泥和焦化企业超低排放评估监测工作的通知》（环办大气函〔2024〕209号）</w:t>
      </w:r>
      <w:r>
        <w:rPr>
          <w:rFonts w:hint="eastAsia" w:ascii="方正仿宋_GBK" w:hAnsi="方正仿宋_GBK" w:eastAsia="方正仿宋_GBK" w:cs="方正仿宋_GBK"/>
          <w:snapToGrid w:val="0"/>
          <w:color w:val="auto"/>
          <w:kern w:val="21"/>
          <w:sz w:val="32"/>
          <w:szCs w:val="32"/>
          <w:highlight w:val="none"/>
          <w:lang w:val="en-US" w:eastAsia="zh-CN"/>
        </w:rPr>
        <w:t>和</w:t>
      </w:r>
      <w:r>
        <w:rPr>
          <w:rFonts w:hint="eastAsia" w:ascii="方正仿宋_GBK" w:hAnsi="方正仿宋_GBK" w:eastAsia="方正仿宋_GBK" w:cs="方正仿宋_GBK"/>
          <w:snapToGrid w:val="0"/>
          <w:color w:val="auto"/>
          <w:kern w:val="21"/>
          <w:sz w:val="32"/>
          <w:szCs w:val="32"/>
          <w:highlight w:val="none"/>
        </w:rPr>
        <w:t>《</w:t>
      </w:r>
      <w:r>
        <w:rPr>
          <w:rFonts w:hint="eastAsia" w:ascii="方正仿宋_GBK" w:hAnsi="方正仿宋_GBK" w:eastAsia="方正仿宋_GBK" w:cs="方正仿宋_GBK"/>
          <w:snapToGrid w:val="0"/>
          <w:color w:val="auto"/>
          <w:kern w:val="21"/>
          <w:szCs w:val="32"/>
          <w:highlight w:val="none"/>
        </w:rPr>
        <w:t>湖南省人民政府办公厅关于印发</w:t>
      </w:r>
      <w:r>
        <w:rPr>
          <w:rFonts w:hint="eastAsia" w:ascii="方正仿宋_GBK" w:hAnsi="方正仿宋_GBK" w:eastAsia="方正仿宋_GBK" w:cs="方正仿宋_GBK"/>
          <w:snapToGrid w:val="0"/>
          <w:color w:val="auto"/>
          <w:kern w:val="21"/>
          <w:szCs w:val="32"/>
          <w:highlight w:val="none"/>
          <w:lang w:eastAsia="zh-CN"/>
        </w:rPr>
        <w:t>&lt;</w:t>
      </w:r>
      <w:r>
        <w:rPr>
          <w:rFonts w:hint="eastAsia" w:ascii="方正仿宋_GBK" w:hAnsi="方正仿宋_GBK" w:eastAsia="方正仿宋_GBK" w:cs="方正仿宋_GBK"/>
          <w:snapToGrid w:val="0"/>
          <w:color w:val="auto"/>
          <w:kern w:val="21"/>
          <w:szCs w:val="32"/>
          <w:highlight w:val="none"/>
        </w:rPr>
        <w:t>湖南省大气污染防治“守护蓝天”攻坚行动计划（2023—2025年）</w:t>
      </w:r>
      <w:r>
        <w:rPr>
          <w:rFonts w:hint="eastAsia" w:ascii="方正仿宋_GBK" w:hAnsi="方正仿宋_GBK" w:eastAsia="方正仿宋_GBK" w:cs="方正仿宋_GBK"/>
          <w:snapToGrid w:val="0"/>
          <w:color w:val="auto"/>
          <w:kern w:val="21"/>
          <w:szCs w:val="32"/>
          <w:highlight w:val="none"/>
          <w:lang w:eastAsia="zh-CN"/>
        </w:rPr>
        <w:t>&gt;</w:t>
      </w:r>
      <w:r>
        <w:rPr>
          <w:rFonts w:hint="eastAsia" w:ascii="方正仿宋_GBK" w:hAnsi="方正仿宋_GBK" w:eastAsia="方正仿宋_GBK" w:cs="方正仿宋_GBK"/>
          <w:snapToGrid w:val="0"/>
          <w:color w:val="auto"/>
          <w:kern w:val="21"/>
          <w:szCs w:val="32"/>
          <w:highlight w:val="none"/>
        </w:rPr>
        <w:t>的通知</w:t>
      </w:r>
      <w:r>
        <w:rPr>
          <w:rFonts w:hint="eastAsia" w:ascii="方正仿宋_GBK" w:hAnsi="方正仿宋_GBK" w:eastAsia="方正仿宋_GBK" w:cs="方正仿宋_GBK"/>
          <w:snapToGrid w:val="0"/>
          <w:color w:val="auto"/>
          <w:kern w:val="21"/>
          <w:sz w:val="32"/>
          <w:szCs w:val="32"/>
          <w:highlight w:val="none"/>
        </w:rPr>
        <w:t>》（湘政办发〔2023〕34号）等文件要求，高质量推进水泥、焦化行业超低排放改造和评估监测工作，省生态环境厅</w:t>
      </w:r>
      <w:r>
        <w:rPr>
          <w:rFonts w:hint="eastAsia" w:ascii="方正仿宋_GBK" w:hAnsi="方正仿宋_GBK" w:eastAsia="方正仿宋_GBK" w:cs="方正仿宋_GBK"/>
          <w:snapToGrid w:val="0"/>
          <w:color w:val="auto"/>
          <w:kern w:val="21"/>
          <w:sz w:val="32"/>
          <w:szCs w:val="32"/>
          <w:highlight w:val="none"/>
          <w:lang w:val="en-US" w:eastAsia="zh-CN"/>
        </w:rPr>
        <w:t>、</w:t>
      </w:r>
      <w:r>
        <w:rPr>
          <w:rFonts w:hint="eastAsia" w:ascii="方正仿宋_GBK" w:hAnsi="方正仿宋_GBK" w:eastAsia="方正仿宋_GBK" w:cs="方正仿宋_GBK"/>
          <w:snapToGrid w:val="0"/>
          <w:color w:val="auto"/>
          <w:kern w:val="21"/>
          <w:sz w:val="32"/>
          <w:szCs w:val="32"/>
          <w:highlight w:val="none"/>
        </w:rPr>
        <w:t>省</w:t>
      </w:r>
      <w:r>
        <w:rPr>
          <w:rFonts w:hint="eastAsia" w:ascii="方正仿宋_GBK" w:hAnsi="方正仿宋_GBK" w:eastAsia="方正仿宋_GBK" w:cs="方正仿宋_GBK"/>
          <w:snapToGrid w:val="0"/>
          <w:color w:val="auto"/>
          <w:kern w:val="21"/>
          <w:sz w:val="32"/>
          <w:szCs w:val="32"/>
          <w:highlight w:val="none"/>
          <w:lang w:val="en-US" w:eastAsia="zh-CN"/>
        </w:rPr>
        <w:t>发展改革委、省工业和信息化厅、省财政厅、省交通运输厅、省国资委</w:t>
      </w:r>
      <w:r>
        <w:rPr>
          <w:rFonts w:hint="eastAsia" w:ascii="方正仿宋_GBK" w:hAnsi="方正仿宋_GBK" w:eastAsia="方正仿宋_GBK" w:cs="方正仿宋_GBK"/>
          <w:snapToGrid w:val="0"/>
          <w:color w:val="auto"/>
          <w:kern w:val="21"/>
          <w:sz w:val="32"/>
          <w:szCs w:val="32"/>
          <w:highlight w:val="none"/>
        </w:rPr>
        <w:t>组织编制了《湖南省水泥和焦化行业超低排放改造实施方案》。现印发给你们，请认真组织实施</w:t>
      </w:r>
      <w:r>
        <w:rPr>
          <w:rFonts w:hint="eastAsia" w:ascii="方正仿宋_GBK" w:hAnsi="方正仿宋_GBK" w:eastAsia="方正仿宋_GBK" w:cs="方正仿宋_GBK"/>
          <w:snapToGrid w:val="0"/>
          <w:color w:val="auto"/>
          <w:kern w:val="21"/>
          <w:sz w:val="32"/>
          <w:szCs w:val="32"/>
          <w:highlight w:val="none"/>
          <w:lang w:eastAsia="zh-CN"/>
        </w:rPr>
        <w:t>。</w:t>
      </w:r>
      <w:r>
        <w:rPr>
          <w:rFonts w:hint="eastAsia" w:ascii="方正仿宋_GBK" w:hAnsi="方正仿宋_GBK" w:eastAsia="方正仿宋_GBK" w:cs="方正仿宋_GBK"/>
          <w:snapToGrid w:val="0"/>
          <w:color w:val="auto"/>
          <w:kern w:val="21"/>
          <w:sz w:val="32"/>
          <w:szCs w:val="32"/>
          <w:highlight w:val="none"/>
          <w:lang w:val="en-US" w:eastAsia="zh-CN"/>
        </w:rPr>
        <w:t>本实施方案自公布之日起施行，有效期五年。</w:t>
      </w: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r>
        <w:rPr>
          <w:rFonts w:hint="eastAsia" w:ascii="方正仿宋_GBK" w:hAnsi="方正仿宋_GBK" w:eastAsia="方正仿宋_GBK" w:cs="方正仿宋_GBK"/>
          <w:snapToGrid w:val="0"/>
          <w:color w:val="auto"/>
          <w:kern w:val="21"/>
          <w:sz w:val="32"/>
          <w:szCs w:val="32"/>
          <w:highlight w:val="none"/>
        </w:rPr>
        <w:t xml:space="preserve">湖南省生态环境厅      </w:t>
      </w:r>
      <w:r>
        <w:rPr>
          <w:rFonts w:hint="eastAsia" w:ascii="方正仿宋_GBK" w:hAnsi="方正仿宋_GBK" w:eastAsia="方正仿宋_GBK" w:cs="方正仿宋_GBK"/>
          <w:snapToGrid w:val="0"/>
          <w:color w:val="auto"/>
          <w:kern w:val="21"/>
          <w:sz w:val="32"/>
          <w:szCs w:val="32"/>
          <w:highlight w:val="none"/>
          <w:lang w:val="en-US" w:eastAsia="zh-CN"/>
        </w:rPr>
        <w:t xml:space="preserve"> </w:t>
      </w:r>
      <w:r>
        <w:rPr>
          <w:rFonts w:hint="eastAsia" w:ascii="方正仿宋_GBK" w:hAnsi="方正仿宋_GBK" w:eastAsia="方正仿宋_GBK" w:cs="方正仿宋_GBK"/>
          <w:snapToGrid w:val="0"/>
          <w:color w:val="auto"/>
          <w:kern w:val="21"/>
          <w:sz w:val="32"/>
          <w:szCs w:val="32"/>
          <w:highlight w:val="none"/>
        </w:rPr>
        <w:t>湖南省发展和改革委员会</w:t>
      </w: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textAlignment w:val="auto"/>
        <w:rPr>
          <w:rFonts w:hint="eastAsia" w:ascii="方正仿宋_GBK" w:hAnsi="方正仿宋_GBK" w:eastAsia="方正仿宋_GBK" w:cs="方正仿宋_GBK"/>
          <w:snapToGrid w:val="0"/>
          <w:color w:val="auto"/>
          <w:kern w:val="21"/>
          <w:sz w:val="32"/>
          <w:szCs w:val="32"/>
          <w:highlight w:val="none"/>
        </w:rPr>
      </w:pPr>
      <w:r>
        <w:rPr>
          <w:rFonts w:hint="eastAsia" w:ascii="方正仿宋_GBK" w:hAnsi="方正仿宋_GBK" w:eastAsia="方正仿宋_GBK" w:cs="方正仿宋_GBK"/>
          <w:snapToGrid w:val="0"/>
          <w:color w:val="auto"/>
          <w:kern w:val="21"/>
          <w:sz w:val="32"/>
          <w:szCs w:val="32"/>
          <w:highlight w:val="none"/>
        </w:rPr>
        <w:t>湖南省工业和信息化厅</w:t>
      </w:r>
      <w:r>
        <w:rPr>
          <w:rFonts w:hint="eastAsia" w:ascii="方正仿宋_GBK" w:hAnsi="方正仿宋_GBK" w:eastAsia="方正仿宋_GBK" w:cs="方正仿宋_GBK"/>
          <w:snapToGrid w:val="0"/>
          <w:color w:val="auto"/>
          <w:kern w:val="21"/>
          <w:sz w:val="32"/>
          <w:szCs w:val="32"/>
          <w:highlight w:val="none"/>
          <w:lang w:val="en-US" w:eastAsia="zh-CN"/>
        </w:rPr>
        <w:t xml:space="preserve">        </w:t>
      </w:r>
      <w:r>
        <w:rPr>
          <w:rFonts w:hint="eastAsia" w:ascii="方正仿宋_GBK" w:hAnsi="方正仿宋_GBK" w:eastAsia="方正仿宋_GBK" w:cs="方正仿宋_GBK"/>
          <w:snapToGrid w:val="0"/>
          <w:color w:val="auto"/>
          <w:kern w:val="21"/>
          <w:sz w:val="32"/>
          <w:szCs w:val="32"/>
          <w:highlight w:val="none"/>
        </w:rPr>
        <w:t>湖南省财政厅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36" w:firstLineChars="200"/>
        <w:textAlignment w:val="auto"/>
        <w:rPr>
          <w:rFonts w:hint="eastAsia" w:ascii="方正仿宋_GBK" w:hAnsi="方正仿宋_GBK" w:eastAsia="方正仿宋_GBK" w:cs="方正仿宋_GBK"/>
          <w:snapToGrid w:val="0"/>
          <w:color w:val="auto"/>
          <w:kern w:val="21"/>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36" w:firstLineChars="200"/>
        <w:textAlignment w:val="auto"/>
        <w:rPr>
          <w:rFonts w:hint="eastAsia" w:ascii="方正仿宋_GBK" w:hAnsi="方正仿宋_GBK" w:eastAsia="方正仿宋_GBK" w:cs="方正仿宋_GBK"/>
          <w:snapToGrid w:val="0"/>
          <w:color w:val="auto"/>
          <w:kern w:val="21"/>
          <w:sz w:val="32"/>
          <w:szCs w:val="32"/>
          <w:highlight w:val="none"/>
          <w:lang w:eastAsia="zh-CN"/>
        </w:rPr>
      </w:pPr>
      <w:r>
        <w:rPr>
          <w:rFonts w:hint="eastAsia" w:ascii="方正仿宋_GBK" w:hAnsi="方正仿宋_GBK" w:eastAsia="方正仿宋_GBK" w:cs="方正仿宋_GBK"/>
          <w:snapToGrid w:val="0"/>
          <w:color w:val="auto"/>
          <w:kern w:val="21"/>
          <w:sz w:val="32"/>
          <w:szCs w:val="32"/>
          <w:highlight w:val="none"/>
        </w:rPr>
        <w:t xml:space="preserve">湖南省交通运输厅 </w:t>
      </w:r>
      <w:r>
        <w:rPr>
          <w:rFonts w:hint="eastAsia" w:ascii="方正仿宋_GBK" w:hAnsi="方正仿宋_GBK" w:eastAsia="方正仿宋_GBK" w:cs="方正仿宋_GBK"/>
          <w:snapToGrid w:val="0"/>
          <w:color w:val="auto"/>
          <w:kern w:val="21"/>
          <w:sz w:val="32"/>
          <w:szCs w:val="32"/>
          <w:highlight w:val="none"/>
          <w:lang w:val="en-US" w:eastAsia="zh-CN"/>
        </w:rPr>
        <w:t xml:space="preserve">  </w:t>
      </w:r>
      <w:r>
        <w:rPr>
          <w:rFonts w:hint="eastAsia" w:ascii="方正仿宋_GBK" w:hAnsi="方正仿宋_GBK" w:eastAsia="方正仿宋_GBK" w:cs="方正仿宋_GBK"/>
          <w:snapToGrid w:val="0"/>
          <w:color w:val="auto"/>
          <w:spacing w:val="-17"/>
          <w:kern w:val="21"/>
          <w:sz w:val="32"/>
          <w:szCs w:val="32"/>
          <w:highlight w:val="none"/>
          <w:lang w:val="en-US" w:eastAsia="zh-CN"/>
        </w:rPr>
        <w:t>湖南省人民政府国有资产监督管理委员会</w:t>
      </w:r>
    </w:p>
    <w:p>
      <w:pPr>
        <w:keepNext w:val="0"/>
        <w:keepLines w:val="0"/>
        <w:pageBreakBefore w:val="0"/>
        <w:widowControl w:val="0"/>
        <w:kinsoku/>
        <w:wordWrap/>
        <w:overflowPunct/>
        <w:topLinePunct w:val="0"/>
        <w:autoSpaceDE/>
        <w:autoSpaceDN/>
        <w:bidi w:val="0"/>
        <w:adjustRightInd w:val="0"/>
        <w:snapToGrid w:val="0"/>
        <w:spacing w:line="480" w:lineRule="exact"/>
        <w:ind w:firstLine="5088" w:firstLineChars="1600"/>
        <w:textAlignment w:val="auto"/>
        <w:rPr>
          <w:rFonts w:hint="eastAsia" w:ascii="方正仿宋_GBK" w:hAnsi="方正仿宋_GBK" w:eastAsia="方正仿宋_GBK" w:cs="方正仿宋_GBK"/>
          <w:snapToGrid w:val="0"/>
          <w:color w:val="auto"/>
          <w:kern w:val="21"/>
          <w:sz w:val="32"/>
          <w:szCs w:val="32"/>
          <w:highlight w:val="none"/>
        </w:rPr>
      </w:pPr>
      <w:r>
        <w:rPr>
          <w:rFonts w:hint="eastAsia" w:ascii="方正仿宋_GBK" w:hAnsi="方正仿宋_GBK" w:eastAsia="方正仿宋_GBK" w:cs="方正仿宋_GBK"/>
          <w:snapToGrid w:val="0"/>
          <w:color w:val="auto"/>
          <w:kern w:val="21"/>
          <w:sz w:val="32"/>
          <w:szCs w:val="32"/>
          <w:highlight w:val="none"/>
        </w:rPr>
        <w:t>202</w:t>
      </w:r>
      <w:r>
        <w:rPr>
          <w:rFonts w:hint="eastAsia" w:ascii="方正仿宋_GBK" w:hAnsi="方正仿宋_GBK" w:eastAsia="方正仿宋_GBK" w:cs="方正仿宋_GBK"/>
          <w:snapToGrid w:val="0"/>
          <w:color w:val="auto"/>
          <w:kern w:val="21"/>
          <w:sz w:val="32"/>
          <w:szCs w:val="32"/>
          <w:highlight w:val="none"/>
          <w:lang w:val="en-US" w:eastAsia="zh-CN"/>
        </w:rPr>
        <w:t>4</w:t>
      </w:r>
      <w:r>
        <w:rPr>
          <w:rFonts w:hint="eastAsia" w:ascii="方正仿宋_GBK" w:hAnsi="方正仿宋_GBK" w:eastAsia="方正仿宋_GBK" w:cs="方正仿宋_GBK"/>
          <w:snapToGrid w:val="0"/>
          <w:color w:val="auto"/>
          <w:kern w:val="21"/>
          <w:sz w:val="32"/>
          <w:szCs w:val="32"/>
          <w:highlight w:val="none"/>
        </w:rPr>
        <w:t>年</w:t>
      </w:r>
      <w:r>
        <w:rPr>
          <w:rFonts w:hint="eastAsia" w:ascii="方正仿宋_GBK" w:hAnsi="方正仿宋_GBK" w:eastAsia="方正仿宋_GBK" w:cs="方正仿宋_GBK"/>
          <w:snapToGrid w:val="0"/>
          <w:color w:val="auto"/>
          <w:kern w:val="21"/>
          <w:sz w:val="32"/>
          <w:szCs w:val="32"/>
          <w:highlight w:val="none"/>
          <w:lang w:val="en-US" w:eastAsia="zh-CN"/>
        </w:rPr>
        <w:t>8</w:t>
      </w:r>
      <w:r>
        <w:rPr>
          <w:rFonts w:hint="eastAsia" w:ascii="方正仿宋_GBK" w:hAnsi="方正仿宋_GBK" w:eastAsia="方正仿宋_GBK" w:cs="方正仿宋_GBK"/>
          <w:snapToGrid w:val="0"/>
          <w:color w:val="auto"/>
          <w:kern w:val="21"/>
          <w:sz w:val="32"/>
          <w:szCs w:val="32"/>
          <w:highlight w:val="none"/>
        </w:rPr>
        <w:t>月</w:t>
      </w:r>
      <w:r>
        <w:rPr>
          <w:rFonts w:hint="eastAsia" w:ascii="方正仿宋_GBK" w:hAnsi="方正仿宋_GBK" w:eastAsia="方正仿宋_GBK" w:cs="方正仿宋_GBK"/>
          <w:snapToGrid w:val="0"/>
          <w:color w:val="auto"/>
          <w:kern w:val="21"/>
          <w:sz w:val="32"/>
          <w:szCs w:val="32"/>
          <w:highlight w:val="none"/>
          <w:lang w:val="en-US" w:eastAsia="zh-CN"/>
        </w:rPr>
        <w:t>1</w:t>
      </w:r>
      <w:r>
        <w:rPr>
          <w:rFonts w:hint="eastAsia" w:ascii="方正仿宋_GBK" w:hAnsi="方正仿宋_GBK" w:eastAsia="方正仿宋_GBK" w:cs="方正仿宋_GBK"/>
          <w:snapToGrid w:val="0"/>
          <w:color w:val="auto"/>
          <w:kern w:val="21"/>
          <w:sz w:val="32"/>
          <w:szCs w:val="32"/>
          <w:highlight w:val="none"/>
        </w:rPr>
        <w:t>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bCs/>
          <w:snapToGrid w:val="0"/>
          <w:color w:val="auto"/>
          <w:kern w:val="21"/>
          <w:sz w:val="44"/>
          <w:szCs w:val="44"/>
          <w:highlight w:val="none"/>
          <w:lang w:val="en-US" w:eastAsia="zh-CN" w:bidi="ar-SA"/>
        </w:rPr>
      </w:pPr>
    </w:p>
    <w:p>
      <w:pPr>
        <w:rPr>
          <w:rFonts w:hint="eastAsia" w:ascii="方正小标宋_GBK" w:hAnsi="方正小标宋_GBK" w:eastAsia="方正小标宋_GBK" w:cs="方正小标宋_GBK"/>
          <w:b w:val="0"/>
          <w:bCs/>
          <w:snapToGrid w:val="0"/>
          <w:color w:val="auto"/>
          <w:kern w:val="21"/>
          <w:sz w:val="44"/>
          <w:szCs w:val="44"/>
          <w:highlight w:val="none"/>
          <w:lang w:val="en-US" w:eastAsia="zh-CN" w:bidi="ar-SA"/>
        </w:rPr>
      </w:pPr>
      <w:r>
        <w:rPr>
          <w:rFonts w:hint="eastAsia" w:ascii="方正小标宋_GBK" w:hAnsi="方正小标宋_GBK" w:eastAsia="方正小标宋_GBK" w:cs="方正小标宋_GBK"/>
          <w:b w:val="0"/>
          <w:bCs/>
          <w:snapToGrid w:val="0"/>
          <w:color w:val="auto"/>
          <w:kern w:val="21"/>
          <w:sz w:val="44"/>
          <w:szCs w:val="44"/>
          <w:highlight w:val="none"/>
          <w:lang w:val="en-US" w:eastAsia="zh-CN" w:bidi="ar-SA"/>
        </w:rPr>
        <w:br w:type="page"/>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0" w:firstLineChars="0"/>
        <w:jc w:val="center"/>
        <w:textAlignment w:val="auto"/>
        <w:rPr>
          <w:rFonts w:hint="eastAsia" w:ascii="方正小标宋_GBK" w:hAnsi="方正小标宋_GBK" w:eastAsia="方正小标宋_GBK" w:cs="方正小标宋_GBK"/>
          <w:i w:val="0"/>
          <w:iCs w:val="0"/>
          <w:caps w:val="0"/>
          <w:snapToGrid w:val="0"/>
          <w:color w:val="auto"/>
          <w:spacing w:val="0"/>
          <w:kern w:val="21"/>
          <w:sz w:val="44"/>
          <w:szCs w:val="44"/>
          <w:highlight w:val="none"/>
          <w:lang w:eastAsia="zh-CN"/>
        </w:rPr>
      </w:pPr>
      <w:r>
        <w:rPr>
          <w:rFonts w:hint="eastAsia" w:ascii="方正小标宋_GBK" w:hAnsi="方正小标宋_GBK" w:eastAsia="方正小标宋_GBK" w:cs="方正小标宋_GBK"/>
          <w:b w:val="0"/>
          <w:bCs/>
          <w:snapToGrid w:val="0"/>
          <w:color w:val="auto"/>
          <w:kern w:val="21"/>
          <w:sz w:val="44"/>
          <w:szCs w:val="44"/>
          <w:highlight w:val="none"/>
          <w:lang w:val="en-US" w:eastAsia="zh-CN" w:bidi="ar-SA"/>
        </w:rPr>
        <w:t>湖南省水泥和焦化行业超低排放改造实施方案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eastAsia" w:ascii="方正仿宋_GBK" w:hAnsi="方正仿宋_GBK" w:eastAsia="方正仿宋_GBK" w:cs="方正仿宋_GBK"/>
          <w:b w:val="0"/>
          <w:bCs/>
          <w:snapToGrid w:val="0"/>
          <w:color w:val="auto"/>
          <w:kern w:val="21"/>
          <w:sz w:val="32"/>
          <w:szCs w:val="32"/>
          <w:highlight w:val="none"/>
        </w:rPr>
      </w:pPr>
    </w:p>
    <w:p>
      <w:pPr>
        <w:pStyle w:val="6"/>
        <w:keepNext w:val="0"/>
        <w:keepLines w:val="0"/>
        <w:pageBreakBefore w:val="0"/>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600" w:lineRule="exact"/>
        <w:ind w:leftChars="0" w:firstLine="612" w:firstLineChars="200"/>
        <w:jc w:val="both"/>
        <w:textAlignment w:val="auto"/>
        <w:rPr>
          <w:rFonts w:hint="eastAsia" w:ascii="方正仿宋_GBK" w:hAnsi="方正仿宋_GBK" w:eastAsia="方正仿宋_GBK" w:cs="方正仿宋_GBK"/>
          <w:b w:val="0"/>
          <w:bCs/>
          <w:snapToGrid w:val="0"/>
          <w:color w:val="auto"/>
          <w:spacing w:val="-6"/>
          <w:kern w:val="21"/>
          <w:sz w:val="32"/>
          <w:szCs w:val="32"/>
          <w:highlight w:val="none"/>
          <w:lang w:eastAsia="zh-CN"/>
        </w:rPr>
      </w:pPr>
      <w:r>
        <w:rPr>
          <w:rFonts w:hint="eastAsia" w:ascii="方正仿宋_GBK" w:hAnsi="方正仿宋_GBK" w:eastAsia="方正仿宋_GBK" w:cs="方正仿宋_GBK"/>
          <w:b w:val="0"/>
          <w:bCs/>
          <w:snapToGrid w:val="0"/>
          <w:color w:val="auto"/>
          <w:spacing w:val="-6"/>
          <w:kern w:val="21"/>
          <w:sz w:val="32"/>
          <w:szCs w:val="32"/>
          <w:highlight w:val="none"/>
          <w:lang w:eastAsia="zh-CN"/>
        </w:rPr>
        <w:t>为贯彻落实《</w:t>
      </w:r>
      <w:r>
        <w:rPr>
          <w:rFonts w:hint="eastAsia" w:ascii="方正仿宋_GBK" w:hAnsi="方正仿宋_GBK" w:eastAsia="方正仿宋_GBK" w:cs="方正仿宋_GBK"/>
          <w:bCs/>
          <w:snapToGrid w:val="0"/>
          <w:color w:val="auto"/>
          <w:spacing w:val="-6"/>
          <w:kern w:val="21"/>
          <w:sz w:val="32"/>
          <w:szCs w:val="32"/>
          <w:highlight w:val="none"/>
        </w:rPr>
        <w:t>国务院关于印发</w:t>
      </w:r>
      <w:r>
        <w:rPr>
          <w:rFonts w:hint="eastAsia" w:ascii="方正仿宋_GBK" w:hAnsi="方正仿宋_GBK" w:eastAsia="方正仿宋_GBK" w:cs="方正仿宋_GBK"/>
          <w:bCs/>
          <w:snapToGrid w:val="0"/>
          <w:color w:val="auto"/>
          <w:spacing w:val="-6"/>
          <w:kern w:val="21"/>
          <w:sz w:val="32"/>
          <w:szCs w:val="32"/>
          <w:highlight w:val="none"/>
          <w:lang w:val="en-US" w:eastAsia="zh-CN"/>
        </w:rPr>
        <w:t>&lt;</w:t>
      </w:r>
      <w:r>
        <w:rPr>
          <w:rFonts w:hint="eastAsia" w:ascii="方正仿宋_GBK" w:hAnsi="方正仿宋_GBK" w:eastAsia="方正仿宋_GBK" w:cs="方正仿宋_GBK"/>
          <w:bCs/>
          <w:snapToGrid w:val="0"/>
          <w:color w:val="auto"/>
          <w:spacing w:val="-6"/>
          <w:kern w:val="21"/>
          <w:sz w:val="32"/>
          <w:szCs w:val="32"/>
          <w:highlight w:val="none"/>
        </w:rPr>
        <w:t>空气质量持续改善行动计划</w:t>
      </w:r>
      <w:r>
        <w:rPr>
          <w:rFonts w:hint="eastAsia" w:ascii="方正仿宋_GBK" w:hAnsi="方正仿宋_GBK" w:eastAsia="方正仿宋_GBK" w:cs="方正仿宋_GBK"/>
          <w:bCs/>
          <w:snapToGrid w:val="0"/>
          <w:color w:val="auto"/>
          <w:spacing w:val="-6"/>
          <w:kern w:val="21"/>
          <w:sz w:val="32"/>
          <w:szCs w:val="32"/>
          <w:highlight w:val="none"/>
          <w:lang w:eastAsia="zh-CN"/>
        </w:rPr>
        <w:t>&gt;</w:t>
      </w:r>
      <w:r>
        <w:rPr>
          <w:rFonts w:hint="eastAsia" w:ascii="方正仿宋_GBK" w:hAnsi="方正仿宋_GBK" w:eastAsia="方正仿宋_GBK" w:cs="方正仿宋_GBK"/>
          <w:bCs/>
          <w:snapToGrid w:val="0"/>
          <w:color w:val="auto"/>
          <w:spacing w:val="-6"/>
          <w:kern w:val="21"/>
          <w:sz w:val="32"/>
          <w:szCs w:val="32"/>
          <w:highlight w:val="none"/>
        </w:rPr>
        <w:t>的通知</w:t>
      </w:r>
      <w:r>
        <w:rPr>
          <w:rFonts w:hint="eastAsia" w:ascii="方正仿宋_GBK" w:hAnsi="方正仿宋_GBK" w:eastAsia="方正仿宋_GBK" w:cs="方正仿宋_GBK"/>
          <w:b w:val="0"/>
          <w:bCs/>
          <w:snapToGrid w:val="0"/>
          <w:color w:val="auto"/>
          <w:spacing w:val="-6"/>
          <w:kern w:val="21"/>
          <w:sz w:val="32"/>
          <w:szCs w:val="32"/>
          <w:highlight w:val="none"/>
          <w:lang w:eastAsia="zh-CN"/>
        </w:rPr>
        <w:t>》（国发〔2023〕24号）、《</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生态环境部等五部门</w:t>
      </w:r>
      <w:r>
        <w:rPr>
          <w:rFonts w:hint="eastAsia" w:ascii="方正仿宋_GBK" w:hAnsi="方正仿宋_GBK" w:eastAsia="方正仿宋_GBK" w:cs="方正仿宋_GBK"/>
          <w:b w:val="0"/>
          <w:bCs/>
          <w:snapToGrid w:val="0"/>
          <w:color w:val="auto"/>
          <w:spacing w:val="-6"/>
          <w:kern w:val="21"/>
          <w:sz w:val="32"/>
          <w:szCs w:val="32"/>
          <w:highlight w:val="none"/>
          <w:lang w:eastAsia="zh-CN"/>
        </w:rPr>
        <w:t>关于印发</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&lt;</w:t>
      </w:r>
      <w:r>
        <w:rPr>
          <w:rFonts w:hint="eastAsia" w:ascii="方正仿宋_GBK" w:hAnsi="方正仿宋_GBK" w:eastAsia="方正仿宋_GBK" w:cs="方正仿宋_GBK"/>
          <w:b w:val="0"/>
          <w:bCs/>
          <w:snapToGrid w:val="0"/>
          <w:color w:val="auto"/>
          <w:spacing w:val="-6"/>
          <w:kern w:val="21"/>
          <w:sz w:val="32"/>
          <w:szCs w:val="32"/>
          <w:highlight w:val="none"/>
          <w:lang w:eastAsia="zh-CN"/>
        </w:rPr>
        <w:t>关于推进实施水泥行业超低排放的意见</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&gt;&lt;</w:t>
      </w:r>
      <w:r>
        <w:rPr>
          <w:rFonts w:hint="eastAsia" w:ascii="方正仿宋_GBK" w:hAnsi="方正仿宋_GBK" w:eastAsia="方正仿宋_GBK" w:cs="方正仿宋_GBK"/>
          <w:b w:val="0"/>
          <w:bCs/>
          <w:snapToGrid w:val="0"/>
          <w:color w:val="auto"/>
          <w:spacing w:val="-6"/>
          <w:kern w:val="21"/>
          <w:sz w:val="32"/>
          <w:szCs w:val="32"/>
          <w:highlight w:val="none"/>
          <w:lang w:eastAsia="zh-CN"/>
        </w:rPr>
        <w:t>关于推进实施焦化行业超低排放的意见</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&gt;</w:t>
      </w:r>
      <w:r>
        <w:rPr>
          <w:rFonts w:hint="eastAsia" w:ascii="方正仿宋_GBK" w:hAnsi="方正仿宋_GBK" w:eastAsia="方正仿宋_GBK" w:cs="方正仿宋_GBK"/>
          <w:b w:val="0"/>
          <w:bCs/>
          <w:snapToGrid w:val="0"/>
          <w:color w:val="auto"/>
          <w:spacing w:val="-6"/>
          <w:kern w:val="21"/>
          <w:sz w:val="32"/>
          <w:szCs w:val="32"/>
          <w:highlight w:val="none"/>
          <w:lang w:eastAsia="zh-CN"/>
        </w:rPr>
        <w:t>的通知》（环大气〔2024〕5号）、《</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生态环境部办公厅关于做好水泥和焦化企业超低排放评估监测工作的通知</w:t>
      </w:r>
      <w:r>
        <w:rPr>
          <w:rFonts w:hint="eastAsia" w:ascii="方正仿宋_GBK" w:hAnsi="方正仿宋_GBK" w:eastAsia="方正仿宋_GBK" w:cs="方正仿宋_GBK"/>
          <w:b w:val="0"/>
          <w:bCs/>
          <w:snapToGrid w:val="0"/>
          <w:color w:val="auto"/>
          <w:spacing w:val="-6"/>
          <w:kern w:val="21"/>
          <w:sz w:val="32"/>
          <w:szCs w:val="32"/>
          <w:highlight w:val="none"/>
          <w:lang w:eastAsia="zh-CN"/>
        </w:rPr>
        <w:t>》（</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环办大气函</w:t>
      </w:r>
      <w:r>
        <w:rPr>
          <w:rFonts w:hint="eastAsia" w:ascii="方正仿宋_GBK" w:hAnsi="方正仿宋_GBK" w:eastAsia="方正仿宋_GBK" w:cs="方正仿宋_GBK"/>
          <w:b w:val="0"/>
          <w:bCs/>
          <w:snapToGrid w:val="0"/>
          <w:color w:val="auto"/>
          <w:spacing w:val="-6"/>
          <w:kern w:val="21"/>
          <w:sz w:val="32"/>
          <w:szCs w:val="32"/>
          <w:highlight w:val="none"/>
          <w:lang w:eastAsia="zh-CN"/>
        </w:rPr>
        <w:t>〔2024〕</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209</w:t>
      </w:r>
      <w:r>
        <w:rPr>
          <w:rFonts w:hint="eastAsia" w:ascii="方正仿宋_GBK" w:hAnsi="方正仿宋_GBK" w:eastAsia="方正仿宋_GBK" w:cs="方正仿宋_GBK"/>
          <w:b w:val="0"/>
          <w:bCs/>
          <w:snapToGrid w:val="0"/>
          <w:color w:val="auto"/>
          <w:spacing w:val="-6"/>
          <w:kern w:val="21"/>
          <w:sz w:val="32"/>
          <w:szCs w:val="32"/>
          <w:highlight w:val="none"/>
          <w:lang w:eastAsia="zh-CN"/>
        </w:rPr>
        <w:t>号）等要求，高质量推进水泥、焦化行业超低排放改造</w:t>
      </w:r>
      <w:r>
        <w:rPr>
          <w:rFonts w:hint="eastAsia" w:ascii="方正仿宋_GBK" w:hAnsi="方正仿宋_GBK" w:eastAsia="方正仿宋_GBK" w:cs="方正仿宋_GBK"/>
          <w:b w:val="0"/>
          <w:bCs/>
          <w:snapToGrid w:val="0"/>
          <w:color w:val="auto"/>
          <w:spacing w:val="-6"/>
          <w:kern w:val="21"/>
          <w:sz w:val="32"/>
          <w:szCs w:val="32"/>
          <w:highlight w:val="none"/>
          <w:lang w:val="en-US" w:eastAsia="zh-CN"/>
        </w:rPr>
        <w:t>和评估监测工作</w:t>
      </w:r>
      <w:r>
        <w:rPr>
          <w:rFonts w:hint="eastAsia" w:ascii="方正仿宋_GBK" w:hAnsi="方正仿宋_GBK" w:eastAsia="方正仿宋_GBK" w:cs="方正仿宋_GBK"/>
          <w:b w:val="0"/>
          <w:bCs/>
          <w:snapToGrid w:val="0"/>
          <w:color w:val="auto"/>
          <w:spacing w:val="-6"/>
          <w:kern w:val="21"/>
          <w:sz w:val="32"/>
          <w:szCs w:val="32"/>
          <w:highlight w:val="none"/>
          <w:lang w:eastAsia="zh-CN"/>
        </w:rPr>
        <w:t>，结合我省实际，特制定本方案。</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黑体_GBK" w:hAnsi="方正黑体_GBK" w:eastAsia="方正黑体_GBK" w:cs="方正黑体_GBK"/>
          <w:b w:val="0"/>
          <w:bCs/>
          <w:snapToGrid w:val="0"/>
          <w:color w:val="auto"/>
          <w:kern w:val="21"/>
          <w:sz w:val="32"/>
          <w:szCs w:val="32"/>
          <w:highlight w:val="none"/>
          <w:lang w:val="en-US" w:eastAsia="zh-CN"/>
        </w:rPr>
      </w:pPr>
      <w:r>
        <w:rPr>
          <w:rFonts w:hint="eastAsia" w:ascii="方正黑体_GBK" w:hAnsi="方正黑体_GBK" w:eastAsia="方正黑体_GBK" w:cs="方正黑体_GBK"/>
          <w:b w:val="0"/>
          <w:bCs/>
          <w:snapToGrid w:val="0"/>
          <w:color w:val="auto"/>
          <w:kern w:val="21"/>
          <w:sz w:val="32"/>
          <w:szCs w:val="32"/>
          <w:highlight w:val="none"/>
          <w:lang w:val="en-US" w:eastAsia="zh-CN"/>
        </w:rPr>
        <w:t>主要目标</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仿宋_GBK" w:hAnsi="方正仿宋_GBK" w:eastAsia="方正仿宋_GBK" w:cs="方正仿宋_GBK"/>
          <w:b w:val="0"/>
          <w:bCs/>
          <w:snapToGrid w:val="0"/>
          <w:color w:val="auto"/>
          <w:kern w:val="21"/>
          <w:sz w:val="32"/>
          <w:szCs w:val="32"/>
          <w:highlight w:val="none"/>
        </w:rPr>
      </w:pPr>
      <w:r>
        <w:rPr>
          <w:rFonts w:hint="eastAsia" w:ascii="方正仿宋_GBK" w:hAnsi="方正仿宋_GBK" w:eastAsia="方正仿宋_GBK" w:cs="方正仿宋_GBK"/>
          <w:b w:val="0"/>
          <w:bCs/>
          <w:snapToGrid w:val="0"/>
          <w:color w:val="auto"/>
          <w:kern w:val="21"/>
          <w:sz w:val="32"/>
          <w:szCs w:val="32"/>
          <w:highlight w:val="none"/>
          <w:lang w:val="en-US" w:eastAsia="zh-CN"/>
        </w:rPr>
        <w:t>按照国家文件要求，积极推动实施</w:t>
      </w:r>
      <w:r>
        <w:rPr>
          <w:rFonts w:hint="eastAsia" w:ascii="方正仿宋_GBK" w:hAnsi="方正仿宋_GBK" w:eastAsia="方正仿宋_GBK" w:cs="方正仿宋_GBK"/>
          <w:b w:val="0"/>
          <w:bCs/>
          <w:snapToGrid w:val="0"/>
          <w:color w:val="auto"/>
          <w:kern w:val="21"/>
          <w:sz w:val="32"/>
          <w:szCs w:val="32"/>
          <w:highlight w:val="none"/>
        </w:rPr>
        <w:t>水泥</w:t>
      </w:r>
      <w:r>
        <w:rPr>
          <w:rFonts w:hint="eastAsia" w:ascii="方正仿宋_GBK" w:hAnsi="方正仿宋_GBK" w:eastAsia="方正仿宋_GBK" w:cs="方正仿宋_GBK"/>
          <w:b w:val="0"/>
          <w:bCs/>
          <w:snapToGrid w:val="0"/>
          <w:color w:val="auto"/>
          <w:kern w:val="21"/>
          <w:sz w:val="32"/>
          <w:szCs w:val="32"/>
          <w:highlight w:val="none"/>
          <w:lang w:val="en-US" w:eastAsia="zh-CN"/>
        </w:rPr>
        <w:t>熟料生产企业（不含矿山）和独立粉磨站（含生产特种水泥、协同处置固废的水泥企业）以及</w:t>
      </w:r>
      <w:r>
        <w:rPr>
          <w:rFonts w:hint="eastAsia" w:ascii="方正仿宋_GBK" w:hAnsi="方正仿宋_GBK" w:eastAsia="方正仿宋_GBK" w:cs="方正仿宋_GBK"/>
          <w:b w:val="0"/>
          <w:bCs/>
          <w:snapToGrid w:val="0"/>
          <w:color w:val="auto"/>
          <w:kern w:val="21"/>
          <w:sz w:val="32"/>
          <w:szCs w:val="32"/>
          <w:highlight w:val="none"/>
        </w:rPr>
        <w:t>焦化</w:t>
      </w:r>
      <w:r>
        <w:rPr>
          <w:rFonts w:hint="eastAsia" w:ascii="方正仿宋_GBK" w:hAnsi="方正仿宋_GBK" w:eastAsia="方正仿宋_GBK" w:cs="方正仿宋_GBK"/>
          <w:b w:val="0"/>
          <w:bCs/>
          <w:snapToGrid w:val="0"/>
          <w:color w:val="auto"/>
          <w:kern w:val="21"/>
          <w:sz w:val="32"/>
          <w:szCs w:val="32"/>
          <w:highlight w:val="none"/>
          <w:lang w:val="en-US" w:eastAsia="zh-CN"/>
        </w:rPr>
        <w:t>企业（含半焦生产）</w:t>
      </w:r>
      <w:r>
        <w:rPr>
          <w:rFonts w:hint="eastAsia" w:ascii="方正仿宋_GBK" w:hAnsi="方正仿宋_GBK" w:eastAsia="方正仿宋_GBK" w:cs="方正仿宋_GBK"/>
          <w:b w:val="0"/>
          <w:bCs/>
          <w:snapToGrid w:val="0"/>
          <w:color w:val="auto"/>
          <w:kern w:val="21"/>
          <w:sz w:val="32"/>
          <w:szCs w:val="32"/>
          <w:highlight w:val="none"/>
        </w:rPr>
        <w:t>超低排放改造。</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仿宋_GBK" w:hAnsi="方正仿宋_GBK" w:eastAsia="方正仿宋_GBK" w:cs="方正仿宋_GBK"/>
          <w:b w:val="0"/>
          <w:bCs/>
          <w:snapToGrid w:val="0"/>
          <w:color w:val="auto"/>
          <w:kern w:val="21"/>
          <w:sz w:val="32"/>
          <w:szCs w:val="32"/>
          <w:highlight w:val="none"/>
        </w:rPr>
      </w:pPr>
      <w:r>
        <w:rPr>
          <w:rFonts w:hint="eastAsia" w:ascii="方正仿宋_GBK" w:hAnsi="方正仿宋_GBK" w:eastAsia="方正仿宋_GBK" w:cs="方正仿宋_GBK"/>
          <w:b w:val="0"/>
          <w:bCs/>
          <w:snapToGrid w:val="0"/>
          <w:color w:val="auto"/>
          <w:kern w:val="21"/>
          <w:sz w:val="32"/>
          <w:szCs w:val="32"/>
          <w:highlight w:val="none"/>
          <w:lang w:val="en-US" w:eastAsia="zh-CN"/>
        </w:rPr>
        <w:t>2025年底前，力争重点城市30条水泥熟料生产线完成超低排放改造；钢铁企业9台焦炉完成超低排放改造和评估监测；2台炭化室高度4.3米焦炉完成淘汰。2026年底前，力争全省58条水泥熟料生产线全部完成超低排放改造；重点城市30条水泥熟料生产线完成超低排放评估监测。2027年底前，力争全省水泥企业全部完成超低排放评估监测；炭化室高度4.3米焦炉全部完成淘汰。</w:t>
      </w:r>
    </w:p>
    <w:p>
      <w:pPr>
        <w:keepNext w:val="0"/>
        <w:keepLines w:val="0"/>
        <w:pageBreakBefore w:val="0"/>
        <w:widowControl w:val="0"/>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仿宋_GBK" w:hAnsi="方正仿宋_GBK" w:eastAsia="方正仿宋_GBK" w:cs="方正仿宋_GBK"/>
          <w:b w:val="0"/>
          <w:bCs/>
          <w:snapToGrid w:val="0"/>
          <w:color w:val="auto"/>
          <w:kern w:val="21"/>
          <w:sz w:val="32"/>
          <w:szCs w:val="32"/>
          <w:highlight w:val="none"/>
          <w:lang w:val="en-US" w:eastAsia="zh-CN"/>
        </w:rPr>
      </w:pPr>
      <w:r>
        <w:rPr>
          <w:rFonts w:hint="eastAsia" w:ascii="方正仿宋_GBK" w:hAnsi="方正仿宋_GBK" w:eastAsia="方正仿宋_GBK" w:cs="方正仿宋_GBK"/>
          <w:b w:val="0"/>
          <w:bCs/>
          <w:snapToGrid w:val="0"/>
          <w:color w:val="auto"/>
          <w:kern w:val="21"/>
          <w:sz w:val="32"/>
          <w:szCs w:val="32"/>
          <w:highlight w:val="none"/>
          <w:lang w:val="en-US" w:eastAsia="zh-CN"/>
        </w:rPr>
        <w:t>已完成超低排放改造的水泥企业和钢焦联合企业，要对标对表，查缺补漏，确保相应工序按期达到本方案要求，并及时开展评估监测。具体改造计划见附件1。</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黑体_GBK" w:hAnsi="方正黑体_GBK" w:eastAsia="方正黑体_GBK" w:cs="方正黑体_GBK"/>
          <w:b w:val="0"/>
          <w:bCs/>
          <w:snapToGrid w:val="0"/>
          <w:color w:val="auto"/>
          <w:kern w:val="21"/>
          <w:sz w:val="32"/>
          <w:szCs w:val="32"/>
          <w:highlight w:val="none"/>
          <w:lang w:val="en-US" w:eastAsia="zh-CN"/>
        </w:rPr>
      </w:pPr>
      <w:r>
        <w:rPr>
          <w:rFonts w:hint="eastAsia" w:ascii="方正黑体_GBK" w:hAnsi="方正黑体_GBK" w:eastAsia="方正黑体_GBK" w:cs="方正黑体_GBK"/>
          <w:b w:val="0"/>
          <w:bCs/>
          <w:snapToGrid w:val="0"/>
          <w:color w:val="auto"/>
          <w:kern w:val="21"/>
          <w:sz w:val="32"/>
          <w:szCs w:val="32"/>
          <w:highlight w:val="none"/>
          <w:lang w:val="en-US" w:eastAsia="zh-CN"/>
        </w:rPr>
        <w:t>指标要求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水泥和焦化企业超低排放是指所有生产环节（水泥企业包括破碎、粉磨、配料、熟料煅烧、烘干、协同处置等，以及原燃料和产品储存运输，焦化企业包括备煤、炼焦、熄焦、焦处理、煤气净化、化学产品深加工等生产环节，以及物料产品储存运输）的大气污染物有组织、无组织排放及运输过程达到超低排放要求。控制指标和措施要求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（一）有组织排放控制指标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水泥企业在基准含氧量10%的条件下，水泥窑及窑尾余热利用系统废气颗粒物、二氧化硫、氮氧化物、氨排放浓度小时均值分别不高于10mg/m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、35mg/m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、50mg/m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、8mg/m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焦化企业在基准含氧量8%的条件下，焦炉烟囱废气颗粒物、二氧化硫、氮氧化物、非甲烷总烃、氨排放浓度小时均值分别不高于10mg/m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、30mg/m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、150mg/m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、100mg/m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、8mg/m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；生产废水处理设施非甲烷总烃浓度小时均值不高于100mg/m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。其他污染源颗粒物排放浓度小时均值不高于10mg/m</w:t>
      </w:r>
      <w:r>
        <w:rPr>
          <w:rStyle w:val="10"/>
          <w:rFonts w:hint="eastAsia" w:ascii="方正仿宋_GBK" w:hAnsi="方正仿宋_GBK" w:eastAsia="方正仿宋_GBK" w:cs="方正仿宋_GBK"/>
          <w:b w:val="0"/>
          <w:bCs/>
          <w:snapToGrid w:val="0"/>
          <w:color w:val="auto"/>
          <w:kern w:val="21"/>
          <w:sz w:val="32"/>
          <w:szCs w:val="32"/>
          <w:highlight w:val="none"/>
          <w:vertAlign w:val="superscript"/>
          <w:lang w:val="en-US" w:eastAsia="zh-CN" w:bidi="ar-SA"/>
        </w:rPr>
        <w:t>3</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有组织排放具体指标要求见附件2。达到超低排放的水泥和焦化企业每月至少95%以上时段排放浓度小时均值满足上述要求。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（二）无组织排放控制措施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物料储存、物料输送、生产工艺过程等无组织排放源，在保障安全生产的前提下，采取密闭、封闭等有效控制设施。无组织排放控制设施与生产设施同步正常运行，产尘点及生产设施无可见烟粉尘外逸，厂区整洁无积尘、无明显异味。无组织排放控制具体要求分别见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（三）清洁运输要求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进出企业的原燃料采用铁路、水路、管道、管状带式输送机、皮带通廊等清洁方式运输比例不低于80%；达不到的企业，汽车运输部分全部采用新能源或国六排放标准车辆。产品运输优先采用清洁运输方式，汽车运输全部采用新能源或国六排放标准车辆。厂内使用新能源运输车辆（2025年底前可采用国六排放标准车辆）。非道路移动机械原则上采用新能源，无对应产品的满足国四及以上排放标准（2025年底前可采用国三排放标准非道路移动机械）。焦化行业危化品运输等特种车辆可采用国五及以上排放标准车辆（燃气车辆达到国六排放标准）。</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黑体_GBK" w:hAnsi="方正黑体_GBK" w:eastAsia="方正黑体_GBK" w:cs="方正黑体_GBK"/>
          <w:b w:val="0"/>
          <w:bCs/>
          <w:snapToGrid w:val="0"/>
          <w:color w:val="auto"/>
          <w:kern w:val="21"/>
          <w:sz w:val="32"/>
          <w:szCs w:val="32"/>
          <w:highlight w:val="none"/>
          <w:lang w:val="en-US" w:eastAsia="zh-CN"/>
        </w:rPr>
      </w:pPr>
      <w:r>
        <w:rPr>
          <w:rFonts w:hint="eastAsia" w:ascii="方正黑体_GBK" w:hAnsi="方正黑体_GBK" w:eastAsia="方正黑体_GBK" w:cs="方正黑体_GBK"/>
          <w:b w:val="0"/>
          <w:bCs/>
          <w:snapToGrid w:val="0"/>
          <w:color w:val="auto"/>
          <w:kern w:val="21"/>
          <w:sz w:val="32"/>
          <w:szCs w:val="32"/>
          <w:highlight w:val="none"/>
          <w:lang w:val="en-US" w:eastAsia="zh-CN"/>
        </w:rPr>
        <w:t>重点任务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（一）优化调整产业结构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严把环境准入关，坚决遏制违规新增产能，新改扩建（含搬迁）项目按超低排放水平建设。严格执行水泥行业产能置换政策，不断推进水泥行业产业结构优化。推动现有焦化企业实施钢焦融合、兼并重组。落实《产业结构调整指导目录》等政策，通过综合手段依法依规淘汰落后产能。发挥能耗、环保、质量、安全、物耗、水耗等标准作用，引导能耗高、排放强度大的低效产能有序退出。大力推动生产设备、用能设备等更新和技术改造，加快推广能效达到先进水平和节能水平的用能设备。严格落实能耗、排放、安全等强制性标准和设备淘汰目录要求，依法依规淘汰不达标设备。列入淘汰退出计划的企业或设施不再要求实施超低排放改造，但应按时完成关停退出。（省发展改革委、省工业和信息化厅、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（二）有序推进现有企业超低排放改造</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各地要围绕空气质量改善需求，把握好节奏和力度，高质量推进水泥和焦化行业超低排放改造。要针对重点问题和薄弱环节为企业做好服务和指导，帮助企业合理选择改造技术路线，协调解决清洁运输等重大事项。（省生态环境厅、省工业和信息化厅、省交通运输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因厂制宜选择成熟适用的环保技术。强化源头控制，水泥行业水泥窑配备低氮燃烧器，采用分级燃烧及其他分解炉含氧量精细化管控等低氮燃烧技术，窑尾废气采用选择性非催化还原（SNCR）、选择性催化还原（SCR）等组合脱硝技术；采取有效措施控制氨逃逸，脱硝氨水消耗量小于3.5kg/t熟料（基于20%的氨水浓度折算）；除尘采用袋式、电袋复合式等高效除尘技术。焦化行业鼓励焦炉采用分段（多段）燃烧、炉内废气循环、单孔炭化室压力调节等技术；采用成熟稳定的污染治理技术，除尘采用高效电除尘、袋式除尘、滤筒除尘等技术；脱硫实施增容提效改造等措施，提高运行稳定性；脱硝采用选择性催化还原（SCR）、活性炭（焦）等高效技术；通过建设备用设施或多仓室改造等措施有效减少治理设施检修时污染物排放。（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在保障安全生产的前提下，无组织排放控制采用密闭、封闭等有效治理措施。鼓励采用机械化料场、筒仓等物料储存方式，产尘点按照“应收尽收”原则合理配置废气收集设施，优化收集风量。水泥企业优化工艺流程，减少转运环节，降低物料落差，缩短运输距离；破碎机、磨机喂料装置采用密闭或封闭防尘措施。推进水泥企业矿山生态修复和绿色矿山建设。焦化企业安装煤气自动点火放散装置，避免直接放散。（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加强VOCs全过程治理。焦炉采取正压密封、砖缝灌浆、陶瓷焊补等源头控制措施减少炉墙串漏。各类储罐（槽、池）以及有机液体装载点位收集的高浓度VOCs废气接入压力平衡系统或燃烧处理；脱硫再生、硫铵结晶、硫磺（膏）生产、脱硫废液提盐、焦油渣干化、生产废水处理、化学产品深加工等设施或车间收集的低浓度VOCs废气采用高效（组合）工艺处理，鼓励引入燃烧装置。半焦炉装煤采取有效措施控制无组织逸散，采用蒸汽、干法等节能环保型熄焦方式，加强出焦输送设施封闭和废气收集处理。（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加强清洁运输改造，煤炭、焦炭等大宗物流和产品中长距离运输优先采用铁路或水路；短途运输优先采用皮带通廊或新能源车辆；厂内物料转运优先采用皮带通廊、封闭式螺旋输送机或管状带式输送机，优化厂内总图布置，合理规划物料输送路线，减少厂内物料二次倒运和汽车运输量。（省生态环境厅、省国资委、省交通运输厅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（三）统筹推进减污降碳协同增效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鼓励企业在超低排放改造时统筹开展减污降碳和清洁生产改造，积极探索污染物和温室气体协同控制工艺技术，到2025年，完成68%水泥熟料产能和86%焦化产能清洁生产改造。鼓励企业优先采用清洁低碳运输方式，打造绿色供应链。（省生态环境厅、省工业和信息化厅、省交通运输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推动水泥企业原料替代，在保障水泥产品质量前提下，提高废渣资源替代石灰石比重；提高矿渣、粉煤灰工业废物掺加比例，降低熟料系数。提高水泥产品质量和应用水平，促进水泥减量化使用。积极推进燃料替代，利用水泥窑协同处置固体废弃物等替代煤炭；采用独立热源烘干的企业，鼓励使用天然气、电、净化后煤气等清洁能源。严格执行水泥行业能源消耗限额要求，在规定时限内将能效基准水平以下熟料产能清零，力争达到能效标杆水平。加快推广低阻旋风预热器、高效烧成、高效篦冷机、高效节能粉磨等节能技术装备。（省生态环境厅、省工业和信息化厅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引导焦化产业链向下游高附加值精细化工产品延伸。鼓励采用蒸汽加热或电加热替代煤气管式炉。推广应用干法熄焦、上升管余热回收、循环氨水及初冷器余热回收等减污降碳技术。严格执行焦化行业能源消耗限额要求，在规定时限内将能效基准水平以下焦炭产能清零，力争达到能效标杆水平。采取焦炉煤气高效综合利用措施，加强煤气管网生产调度管理，提高煤气利用率。（省发展改革委、省工业和信息化厅、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楷体_GBK" w:hAnsi="方正楷体_GBK" w:eastAsia="方正楷体_GBK" w:cs="方正楷体_GBK"/>
          <w:b/>
          <w:bCs w:val="0"/>
          <w:snapToGrid w:val="0"/>
          <w:color w:val="auto"/>
          <w:kern w:val="21"/>
          <w:sz w:val="32"/>
          <w:szCs w:val="32"/>
          <w:highlight w:val="none"/>
          <w:lang w:val="en-US" w:eastAsia="zh-CN" w:bidi="ar"/>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（四）强化全过程精细化环境管理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实施超低排放改造的企业，可通过全面加强污染物排放自动监测、过程监控和视频监控设施建设等方式自证稳定达到超低排放要求，包括以下措施：主要排放口和焦化企业燃用煤气的管式炉安装自动监控设施，与生态环境部门联网并验收；水泥窑及窑尾余热利用系统增加氨污染因子自动监测，焦炉烟囱（含热备烟囱）增加非甲烷总烃和氨排放自动监测；主要生产装备和污染治理设施安装分布式控制系统（DCS），重点环节安装高清视频监控设施；建设全厂环境管控平台，记录有组织排放、无组织排放相关监测监控和治理设施运行情况，以及清洁运输情况；自动监测、DCS系统等数据至少保存五年以上，高清视频监控数据至少保存一年以上。具体要求见附件4、5。（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加强运行管理。水泥企业应确保水泥熟料生产与脱硝系统同步运行，做好脱硝剂采购记录、消耗量日常检查记录和喷枪维护记录；采取合理控制脱硝剂用量，优化反应温度、反应区间和停留时间等有效措施控制氨逃逸；定期检查无组织排放设施运行情况，可通过智能化、数字化建设，实现无组织排放精准管控。外排环境的烟气旁路，应采取彻底拆除、切断、物理隔离等方式取缔，因安全生产需要保留的，在非紧急情况下保持关闭并铅封，通过安装自动监测设备、流量计等方式加强监管，鼓励在旁路设置感应式阀门，阀门开启状态、开度等信号接入中控系统，并保存历史记录。焦化企业建立定期巡检工作机制，加强炉门清理与泄露修复管理，根据产尘点距离合理设置捕集装置；加强生产组织管理和设备维护，降低推焦除尘风机、焦炉烟囱风机和煤气鼓风机等事故检修频次，减少非正常工况污染物排放。严禁采用未达标的生产废水直接熄焦；规范开展设备与管线组件泄露检测与修复（LDAR），提高动静密封点精细化管理水平；加强全厂一体化环境管控平台数据动态分析和预警应用。（省生态环境厅、省国资委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强化运输管理。配备专职人员加强运输管理，建设门禁及视频监控系统，以及进出厂运输车辆、厂内运输车辆、非道路移动机械电子台账。具体要求详见附件6。鼓励与供车单位、原辅材料供货单位及产品购买单位签订车辆排放达标保证书、增加相应合同条款、提供运输车辆年检合格证明等方式实现车辆合规管理。（省生态环境厅、省国资委、省交通运输厅等按职责分工负责）</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仿宋_GBK" w:hAnsi="方正仿宋_GBK" w:eastAsia="方正仿宋_GBK" w:cs="方正仿宋_GBK"/>
          <w:i w:val="0"/>
          <w:iCs w:val="0"/>
          <w:caps w:val="0"/>
          <w:snapToGrid w:val="0"/>
          <w:color w:val="auto"/>
          <w:spacing w:val="0"/>
          <w:kern w:val="21"/>
          <w:sz w:val="32"/>
          <w:szCs w:val="32"/>
          <w:highlight w:val="none"/>
          <w:shd w:val="clear" w:color="auto" w:fill="FFFFFF"/>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完善管理制度。建立健全企业环保管理机构，设置环保专职人员。建立企业环保设施检修与维护、环境监测、环保监督与考核、环保应急预案等管理制度。按照排污许可技术规范要求，规范、准确、完整记录环境管理台账，如实反映生产设施、污染治理设施运行情况。（省生态环境厅、省国资委等按职责分工负责）</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黑体_GBK" w:hAnsi="方正黑体_GBK" w:eastAsia="方正黑体_GBK" w:cs="方正黑体_GBK"/>
          <w:b w:val="0"/>
          <w:bCs/>
          <w:snapToGrid w:val="0"/>
          <w:color w:val="auto"/>
          <w:kern w:val="21"/>
          <w:sz w:val="32"/>
          <w:szCs w:val="32"/>
          <w:highlight w:val="none"/>
          <w:lang w:val="en-US" w:eastAsia="zh-CN"/>
        </w:rPr>
      </w:pPr>
      <w:r>
        <w:rPr>
          <w:rFonts w:hint="eastAsia" w:ascii="方正黑体_GBK" w:hAnsi="方正黑体_GBK" w:eastAsia="方正黑体_GBK" w:cs="方正黑体_GBK"/>
          <w:b w:val="0"/>
          <w:bCs/>
          <w:snapToGrid w:val="0"/>
          <w:color w:val="auto"/>
          <w:kern w:val="21"/>
          <w:sz w:val="32"/>
          <w:szCs w:val="32"/>
          <w:highlight w:val="none"/>
          <w:lang w:val="en-US" w:eastAsia="zh-CN"/>
        </w:rPr>
        <w:t>政策措施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企业达标排放是法定责任，超低排放是鼓励导向，对于达到超低排放要求的企业加大支持力度。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（一）加大经济政策支持力度。</w:t>
      </w:r>
      <w:r>
        <w:rPr>
          <w:rStyle w:val="10"/>
          <w:rFonts w:hint="eastAsia" w:ascii="方正仿宋_GBK" w:hAnsi="方正仿宋_GBK" w:eastAsia="方正仿宋_GBK" w:cs="方正仿宋_GBK"/>
          <w:b w:val="0"/>
          <w:bCs/>
          <w:snapToGrid w:val="0"/>
          <w:color w:val="auto"/>
          <w:spacing w:val="-6"/>
          <w:kern w:val="21"/>
          <w:sz w:val="32"/>
          <w:szCs w:val="32"/>
          <w:highlight w:val="none"/>
          <w:lang w:val="en-US" w:eastAsia="zh-CN" w:bidi="ar-SA"/>
        </w:rPr>
        <w:t>按照环境保护税法有关规定，对实现超低排放的水泥和焦化企业给予税收优惠待遇。落实购置环境保护专用设备企业所得税抵免优惠政策，鼓励货车、工程作业用车等加快新能源车型替代。鼓励水泥和焦化企业超低排放改造项目申报中央大气污染防治专项资金，对于入库项目优先安排资金。鼓励银行机构给予企业信贷支持用于超低排放改造，支持符合条件的企业发行债券进行直接融资，募集资金用于超低排放改造等领域。通过全国碳排放权交易市场，对在超低排放改造时统筹开展减污降碳改造，实现减少温室气体排放的企业形成正向激励。</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（二）实行差别化环保管理政策。</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充分发挥标杆企业引领示范作用，对于已完成超低排放改造并公示的水泥和焦化企业，可开展A级绩效评级工作；完成A级绩效评定的，重污染天气预警期间可采取自主减排措施。本方案发布前已评定为A级的企业应对照超低排放指标要求进行改造，确保按期达到本方案要求，逾期未完成改造的，进行降级处理。推动落实高耗能行业阶梯电价制度，研究制定基于污染物排放、能耗、温室气体排放的信贷金融政策。</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（三）加强技术支撑。</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发布实施省工业炉窑主要大气污染物排放标准，明确水泥和焦化行业污染物排放限值要求。支持水泥和焦化企业与高校、科研机构、环保工程技术公司等合作，创新节能减排技术。</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Chars="0" w:firstLine="636" w:firstLineChars="200"/>
        <w:jc w:val="both"/>
        <w:textAlignment w:val="auto"/>
        <w:rPr>
          <w:rFonts w:hint="eastAsia" w:ascii="方正黑体_GBK" w:hAnsi="方正黑体_GBK" w:eastAsia="方正黑体_GBK" w:cs="方正黑体_GBK"/>
          <w:b w:val="0"/>
          <w:bCs/>
          <w:snapToGrid w:val="0"/>
          <w:color w:val="auto"/>
          <w:kern w:val="21"/>
          <w:sz w:val="32"/>
          <w:szCs w:val="32"/>
          <w:highlight w:val="none"/>
          <w:lang w:val="en-US" w:eastAsia="zh-CN"/>
        </w:rPr>
      </w:pPr>
      <w:r>
        <w:rPr>
          <w:rFonts w:hint="eastAsia" w:ascii="方正黑体_GBK" w:hAnsi="方正黑体_GBK" w:eastAsia="方正黑体_GBK" w:cs="方正黑体_GBK"/>
          <w:b w:val="0"/>
          <w:bCs/>
          <w:snapToGrid w:val="0"/>
          <w:color w:val="auto"/>
          <w:kern w:val="21"/>
          <w:sz w:val="32"/>
          <w:szCs w:val="32"/>
          <w:highlight w:val="none"/>
          <w:lang w:val="en-US" w:eastAsia="zh-CN"/>
        </w:rPr>
        <w:t>组织实施</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Chars="0" w:right="0" w:rightChars="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（一）加强组织领导。</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省生态环境厅、省发展改革委、省工业和信息化厅、省财政厅、省交通运输厅、省人民政府国有资产监督管理委员会等组织实施本方案，有关部门各司其职、各负其责、密切配合，形成合力，加强对地方工作指导，及时协调解决推进过程中的困难和难题。生态环境部门会同有关单位建立水泥和焦化企业超低排放改造管理台账。各地要加强组织领导，做好监督、管理和服务工作，组织已完成超低排放改造的企业积极开展A级绩效评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（二）强化企业主体责任。</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企业是实施超低排放改造的责任主体，要严格落实国家和省市相关要求，力求做到企业领导真重视、资金真投入、实施真工程、管理水平真提升，确保按期高质量完成超低排放改造和评估监测任务，实现治理设施长期稳定运行。在环保治理工程建设和运行过程中，要严格执行安全管理有关规定，切实落实企业安全生产主体责任。省属国有企业和在湘央企、国企要发挥表率作用，加快超低排放项目改造，及时将改造目标任务分解落实，抓紧推进，加快完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（三）严格评估监测。</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企业完成超低排放改造并连续稳定运行一个月后，可自行或委托有资质的监测机构和有能力的技术机构，严格按照指标和</w:t>
      </w:r>
      <w:r>
        <w:rPr>
          <w:rFonts w:hint="eastAsia" w:ascii="方正仿宋_GBK" w:hAnsi="方正仿宋_GBK" w:eastAsia="方正仿宋_GBK" w:cs="方正仿宋_GBK"/>
          <w:b w:val="0"/>
          <w:bCs/>
          <w:snapToGrid w:val="0"/>
          <w:color w:val="auto"/>
          <w:kern w:val="21"/>
          <w:sz w:val="32"/>
          <w:szCs w:val="32"/>
          <w:highlight w:val="none"/>
          <w:lang w:eastAsia="zh-CN"/>
        </w:rPr>
        <w:t>《</w:t>
      </w:r>
      <w:r>
        <w:rPr>
          <w:rFonts w:hint="eastAsia" w:ascii="方正仿宋_GBK" w:hAnsi="方正仿宋_GBK" w:eastAsia="方正仿宋_GBK" w:cs="方正仿宋_GBK"/>
          <w:b w:val="0"/>
          <w:bCs/>
          <w:snapToGrid w:val="0"/>
          <w:color w:val="auto"/>
          <w:kern w:val="21"/>
          <w:sz w:val="32"/>
          <w:szCs w:val="32"/>
          <w:highlight w:val="none"/>
          <w:lang w:val="en-US" w:eastAsia="zh-CN"/>
        </w:rPr>
        <w:t>生态环境部办公厅关于做好水泥和焦化企业超低排放评估监测工作的通知</w:t>
      </w:r>
      <w:r>
        <w:rPr>
          <w:rFonts w:hint="eastAsia" w:ascii="方正仿宋_GBK" w:hAnsi="方正仿宋_GBK" w:eastAsia="方正仿宋_GBK" w:cs="方正仿宋_GBK"/>
          <w:b w:val="0"/>
          <w:bCs/>
          <w:snapToGrid w:val="0"/>
          <w:color w:val="auto"/>
          <w:kern w:val="21"/>
          <w:sz w:val="32"/>
          <w:szCs w:val="32"/>
          <w:highlight w:val="none"/>
          <w:lang w:eastAsia="zh-CN"/>
        </w:rPr>
        <w:t>》</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环办大气函〔2024〕209号）要求开展评估监测。稳定达到超低排放要求的，将评估监测报告报送省市两级生态环境、工业和信息化等部门，并根据生态环境部相关要求开展公示，接受全社会监督。鼓励行业协会发挥桥梁和纽带作用，指导企业开展超低排放改造和评估监测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（四）强化监督管理。</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对已完成超低排放改造的企业，加强事中事后监管，在15个工作日内按要求完成排污许可证申请变更，在许可排放浓度限值备注栏注明企业承诺的更严（超低）排放限值，对于有许可排放总量要求的企业，应同时变更超低排放改造后核算的排放总量。建立动态监督管理台账，依托远程监控、大数据分析等开展非现场监管，组织“双随机”检查，对不能稳定实现超低排放的，及时调整出动态管理名单，视情节取消相关优惠政策，并向社会公开。对未完成或未按时限要求完成超低排放改造的水泥和焦化企业，重污染天气预警期间依法严格落实应急减排措施，加大执法监管力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Fonts w:hint="eastAsia" w:ascii="方正楷体_GBK" w:hAnsi="方正楷体_GBK" w:eastAsia="方正楷体_GBK" w:cs="方正楷体_GBK"/>
          <w:b/>
          <w:bCs w:val="0"/>
          <w:snapToGrid w:val="0"/>
          <w:color w:val="auto"/>
          <w:kern w:val="21"/>
          <w:sz w:val="32"/>
          <w:szCs w:val="32"/>
          <w:highlight w:val="none"/>
          <w:lang w:val="en-US" w:eastAsia="zh-CN" w:bidi="ar"/>
        </w:rPr>
        <w:t>（五）加强宣传引导。</w:t>
      </w: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做好政策解读和宣贯，营造有利于开展超低排放改造的良好舆论氛围，增强企业责任感和荣誉感。各级有关部门要积极跟踪相关舆情动态，及时回应社会关切，宣传报道地方和企业的优秀做法。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Fonts w:hint="eastAsia" w:ascii="方正仿宋_GBK" w:hAnsi="方正仿宋_GBK" w:eastAsia="方正仿宋_GBK" w:cs="方正仿宋_GBK"/>
          <w:i w:val="0"/>
          <w:iCs w:val="0"/>
          <w:caps w:val="0"/>
          <w:snapToGrid w:val="0"/>
          <w:color w:val="auto"/>
          <w:spacing w:val="0"/>
          <w:kern w:val="21"/>
          <w:sz w:val="32"/>
          <w:szCs w:val="32"/>
          <w:highlight w:val="none"/>
          <w:shd w:val="clear" w:color="auto" w:fill="FFFFFF"/>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36" w:firstLineChars="2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附件：1.湖南省水泥和焦化企业超低排放改造计划</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1590" w:firstLineChars="5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2.有组织排放指标限值</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1590" w:firstLineChars="5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3.无组织排放控制措施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1590" w:firstLineChars="5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4.监测监控安装点位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1590" w:firstLineChars="5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5.分布式控制系统（DCS）关键参数</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1590" w:firstLineChars="500"/>
        <w:jc w:val="both"/>
        <w:textAlignment w:val="auto"/>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pPr>
      <w:r>
        <w:rPr>
          <w:rStyle w:val="10"/>
          <w:rFonts w:hint="eastAsia" w:ascii="方正仿宋_GBK" w:hAnsi="方正仿宋_GBK" w:eastAsia="方正仿宋_GBK" w:cs="方正仿宋_GBK"/>
          <w:b w:val="0"/>
          <w:bCs/>
          <w:snapToGrid w:val="0"/>
          <w:color w:val="auto"/>
          <w:kern w:val="21"/>
          <w:sz w:val="32"/>
          <w:szCs w:val="32"/>
          <w:highlight w:val="none"/>
          <w:lang w:val="en-US" w:eastAsia="zh-CN" w:bidi="ar-SA"/>
        </w:rPr>
        <w:t>6.清洁运输管理要求</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1845" w:firstLineChars="58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31" w:header="851" w:footer="1247" w:gutter="0"/>
          <w:pgNumType w:fmt="numberInDash"/>
          <w:cols w:space="425" w:num="1"/>
          <w:titlePg/>
          <w:docGrid w:type="linesAndChars" w:linePitch="579" w:charSpace="-432"/>
        </w:sect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t>附件1</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219" w:beforeLines="70" w:beforeAutospacing="0" w:after="157" w:afterLines="50" w:afterAutospacing="0" w:line="600" w:lineRule="exact"/>
        <w:ind w:right="0" w:firstLine="0" w:firstLineChars="0"/>
        <w:jc w:val="cente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pPr>
      <w: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t>湖南省水泥和焦化企业超低排放改造计划</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center"/>
        <w:rPr>
          <w:rFonts w:hint="eastAsia" w:ascii="方正仿宋_GBK" w:hAnsi="方正仿宋_GBK" w:eastAsia="方正仿宋_GBK" w:cs="方正仿宋_GBK"/>
          <w:b/>
          <w:bCs/>
          <w:spacing w:val="0"/>
          <w:kern w:val="21"/>
          <w:sz w:val="32"/>
          <w:szCs w:val="32"/>
          <w:highlight w:val="none"/>
          <w:lang w:val="en-US" w:eastAsia="zh-CN" w:bidi="ar-SA"/>
        </w:rPr>
      </w:pPr>
      <w:r>
        <w:rPr>
          <w:rFonts w:hint="eastAsia" w:ascii="方正仿宋_GBK" w:hAnsi="方正仿宋_GBK" w:eastAsia="方正仿宋_GBK" w:cs="方正仿宋_GBK"/>
          <w:b/>
          <w:bCs w:val="0"/>
          <w:color w:val="auto"/>
          <w:kern w:val="21"/>
          <w:sz w:val="32"/>
          <w:szCs w:val="32"/>
          <w:highlight w:val="none"/>
          <w:lang w:val="en-US" w:eastAsia="zh-CN" w:bidi="ar-SA"/>
        </w:rPr>
        <w:t>表1  湖南省水泥企业超低排放改造重点项目计划表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234"/>
        <w:gridCol w:w="1373"/>
        <w:gridCol w:w="3916"/>
        <w:gridCol w:w="2199"/>
        <w:gridCol w:w="1512"/>
        <w:gridCol w:w="175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序号</w:t>
            </w:r>
          </w:p>
        </w:tc>
        <w:tc>
          <w:tcPr>
            <w:tcW w:w="4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市州</w:t>
            </w:r>
          </w:p>
        </w:tc>
        <w:tc>
          <w:tcPr>
            <w:tcW w:w="464"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县区</w:t>
            </w:r>
          </w:p>
        </w:tc>
        <w:tc>
          <w:tcPr>
            <w:tcW w:w="132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企业/生产线名称</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备案或核准产能</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（吨/日）</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水泥回转窑</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外径（m）</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超低排放改造</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完成时间</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超低排放评估监测</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w:t>
            </w:r>
          </w:p>
        </w:tc>
        <w:tc>
          <w:tcPr>
            <w:tcW w:w="41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长沙市</w:t>
            </w:r>
          </w:p>
        </w:tc>
        <w:tc>
          <w:tcPr>
            <w:tcW w:w="46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宁乡市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湖南宁乡南方水泥有限公司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w:t>
            </w:r>
          </w:p>
        </w:tc>
        <w:tc>
          <w:tcPr>
            <w:tcW w:w="41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长沙市</w:t>
            </w:r>
          </w:p>
        </w:tc>
        <w:tc>
          <w:tcPr>
            <w:tcW w:w="46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浏阳市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湖南浏阳南方水泥有限公司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w:t>
            </w:r>
          </w:p>
        </w:tc>
        <w:tc>
          <w:tcPr>
            <w:tcW w:w="41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长沙市</w:t>
            </w:r>
          </w:p>
        </w:tc>
        <w:tc>
          <w:tcPr>
            <w:tcW w:w="46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长沙县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长沙河田白石建材有限公司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株洲市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荷塘区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中材株洲水泥有限责任公司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5000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株洲市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渌口区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华新水泥（株洲）有限公司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5.0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株洲市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攸县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湖南远大水泥有限责任公司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4.3</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7</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湘潭市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湘乡市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湖南韶峰南方水泥有限公司1#线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8</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湘潭市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湘乡市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湖南韶峰南方水泥有限公司2#线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8000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5.6</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9</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衡阳市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耒阳市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湖南耒阳南方水泥有限公司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10</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衡阳市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松木</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湖南金山水泥有限公司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11</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衡阳市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松木</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湖南金山环保建材有限公司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4.3</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12</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衡阳市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衡东县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衡阳红狮水泥有限公司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13</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邵阳南方水泥有限公司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SA"/>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14</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隆回县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湖南隆回南方水泥有限公司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长期停产，</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17"/>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17"/>
                <w:kern w:val="21"/>
                <w:sz w:val="24"/>
                <w:szCs w:val="24"/>
                <w:highlight w:val="none"/>
                <w:vertAlign w:val="baseline"/>
                <w:lang w:val="en" w:eastAsia="zh-CN" w:bidi="ar-SA"/>
              </w:rPr>
              <w:t>恢复生产前完成</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长期停产，</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17"/>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17"/>
                <w:kern w:val="21"/>
                <w:sz w:val="24"/>
                <w:szCs w:val="24"/>
                <w:highlight w:val="none"/>
                <w:vertAlign w:val="baseline"/>
                <w:lang w:val="en" w:eastAsia="zh-CN" w:bidi="ar-SA"/>
              </w:rPr>
              <w:t>恢复生产前完成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15</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武冈市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湖南省云峰水泥有限公司1#线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长期停产，</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17"/>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17"/>
                <w:kern w:val="21"/>
                <w:sz w:val="24"/>
                <w:szCs w:val="24"/>
                <w:highlight w:val="none"/>
                <w:vertAlign w:val="baseline"/>
                <w:lang w:val="en" w:eastAsia="zh-CN" w:bidi="ar-SA"/>
              </w:rPr>
              <w:t>恢复生产前完成</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长期停产，</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17"/>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17"/>
                <w:kern w:val="21"/>
                <w:sz w:val="24"/>
                <w:szCs w:val="24"/>
                <w:highlight w:val="none"/>
                <w:vertAlign w:val="baseline"/>
                <w:lang w:val="en" w:eastAsia="zh-CN" w:bidi="ar-SA"/>
              </w:rPr>
              <w:t>恢复生产前完成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16</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武冈市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湖南省云峰水泥有限公司2#线</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4.7</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17</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大祥区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邵阳市云峰新能源科技有限公司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18</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邵阳市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洞口县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湖南润百建材有限公司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4.6</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2026年6月</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19</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岳阳市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临湘市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临湘海螺水泥有限责任公司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鼎城区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湖南常德南方水泥有限公司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21</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桃源县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中材常德水泥有限责任公司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长期停产，</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17"/>
                <w:kern w:val="21"/>
                <w:sz w:val="24"/>
                <w:szCs w:val="24"/>
                <w:highlight w:val="none"/>
                <w:vertAlign w:val="baseline"/>
                <w:lang w:val="en-US" w:eastAsia="zh-CN" w:bidi="ar-SA"/>
              </w:rPr>
              <w:t>恢复生产前完成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22</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石门县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石门海螺水泥有限责任公司1#线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23</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石门县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石门海螺水泥有限责任公司2#线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24</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临澧县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临澧冀东水泥有限公司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25</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石门县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葛洲坝石门特种水泥有限公司1#线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500（年产15万吨）</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3.2</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26</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常德市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石门县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葛洲坝石门特种水泥有限公司2#线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2000（年产60万吨白色硅酸盐水泥）</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27</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张家界市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桑植县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华新水泥（桑植）有限公司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28</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张家界市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永定区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湖南理意固体废弃物绿色循环利用产业有限公司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4.6</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29</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益阳市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安化县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湖南益阳海螺水泥有限责任公司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30</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益阳市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桃江县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湖南桃江南方水泥有限公司1#线</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31</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益阳市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桃江县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湖南桃江南方水泥有限公司2#线</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2024年12月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32</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益阳市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桃江县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益阳市东方水泥有限公司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3700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4.4</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33</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安仁县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湖南安仁南方水泥有限公司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34</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苏仙区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湖南苏仙南方水泥有限公司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35</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北湖区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华新水泥（郴州）有限公司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4.7</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36</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宜章县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康达（湖南）水泥有限公司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4.7</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37</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苏仙区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湖南良田水泥有限公司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5000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38</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嘉禾县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湖南省嘉禾县南岭水泥有限公司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39</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资兴市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湖南金磊南方水泥有限公司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4900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4.78</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u w:val="none"/>
                <w:vertAlign w:val="baseli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冷水滩区</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永州市九嶷正阳水泥有限责任公司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41</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江华县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江华海螺水泥有限责任公司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42</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东安县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永州红狮水泥有限公司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5.6</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宁远县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宁远红狮水泥有限公司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5500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5.0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44</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祁阳县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祁阳海螺水泥有限公司1#线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祁阳县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祁阳海螺水泥有限公司2#线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46</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永州市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道县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华新水泥（道县）有限公司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4.4</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47</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怀化市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中方县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台泥（怀化）水泥有限公司1#线</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怀化市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中方县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台泥（怀化）水泥有限公司2#线</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49</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怀化市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靖州县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靖州台泥水泥有限公司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3000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50</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怀化市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溆浦县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湖南省湘维有限公司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1200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3.2</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51</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双峰县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双峰海螺水泥有限公司1#线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52</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双峰县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双峰海螺水泥有限公司2#线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53</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新化县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湖南海螺水泥有限公司1#线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4.6</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54</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新化县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湖南海螺水泥有限公司2#线</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4000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4.6</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55</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冷水江</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华新水泥（冷水江）有限公司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5.0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56</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涟源市</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涟源海螺水泥有限公司</w:t>
            </w:r>
          </w:p>
        </w:tc>
        <w:tc>
          <w:tcPr>
            <w:tcW w:w="74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4500</w:t>
            </w:r>
          </w:p>
        </w:tc>
        <w:tc>
          <w:tcPr>
            <w:tcW w:w="511"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5.0</w:t>
            </w:r>
          </w:p>
        </w:tc>
        <w:tc>
          <w:tcPr>
            <w:tcW w:w="593"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已完成</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57</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湘西州</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古丈县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湖南古丈南方水泥有限公司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58</w:t>
            </w:r>
          </w:p>
        </w:tc>
        <w:tc>
          <w:tcPr>
            <w:tcW w:w="417"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湘西州</w:t>
            </w:r>
          </w:p>
        </w:tc>
        <w:tc>
          <w:tcPr>
            <w:tcW w:w="464"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龙山县</w:t>
            </w:r>
          </w:p>
        </w:tc>
        <w:tc>
          <w:tcPr>
            <w:tcW w:w="1323"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湘西自治州成美建材有限公司</w:t>
            </w:r>
          </w:p>
        </w:tc>
        <w:tc>
          <w:tcPr>
            <w:tcW w:w="7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2500</w:t>
            </w:r>
          </w:p>
        </w:tc>
        <w:tc>
          <w:tcPr>
            <w:tcW w:w="51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4.0</w:t>
            </w:r>
          </w:p>
        </w:tc>
        <w:tc>
          <w:tcPr>
            <w:tcW w:w="5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2026年6月</w:t>
            </w:r>
          </w:p>
        </w:tc>
        <w:tc>
          <w:tcPr>
            <w:tcW w:w="728"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2027年6月</w:t>
            </w:r>
          </w:p>
        </w:tc>
      </w:tr>
    </w:tbl>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636" w:firstLineChars="200"/>
        <w:jc w:val="both"/>
        <w:rPr>
          <w:rFonts w:hint="eastAsia" w:ascii="微软雅黑" w:hAnsi="微软雅黑" w:eastAsia="微软雅黑" w:cs="微软雅黑"/>
          <w:spacing w:val="0"/>
          <w:kern w:val="21"/>
          <w:sz w:val="32"/>
          <w:szCs w:val="32"/>
          <w:highlight w:val="none"/>
          <w:lang w:val="en-US" w:eastAsia="zh-CN" w:bidi="ar-SA"/>
        </w:r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636" w:firstLineChars="200"/>
        <w:jc w:val="both"/>
        <w:rPr>
          <w:rFonts w:hint="eastAsia" w:ascii="微软雅黑" w:hAnsi="微软雅黑" w:eastAsia="微软雅黑" w:cs="微软雅黑"/>
          <w:spacing w:val="0"/>
          <w:kern w:val="21"/>
          <w:sz w:val="32"/>
          <w:szCs w:val="32"/>
          <w:highlight w:val="none"/>
          <w:lang w:val="en-US" w:eastAsia="zh-CN" w:bidi="ar-SA"/>
        </w:rPr>
      </w:pPr>
    </w:p>
    <w:p>
      <w:pPr>
        <w:rPr>
          <w:highlight w:val="none"/>
        </w:r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bidi="ar-SA"/>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bidi="ar-SA"/>
        </w:rPr>
      </w:pPr>
      <w:r>
        <w:rPr>
          <w:rFonts w:hint="eastAsia" w:ascii="方正仿宋_GBK" w:hAnsi="方正仿宋_GBK" w:eastAsia="方正仿宋_GBK" w:cs="方正仿宋_GBK"/>
          <w:b/>
          <w:bCs w:val="0"/>
          <w:color w:val="auto"/>
          <w:kern w:val="21"/>
          <w:sz w:val="32"/>
          <w:szCs w:val="32"/>
          <w:highlight w:val="none"/>
          <w:lang w:val="en-US" w:eastAsia="zh-CN" w:bidi="ar-SA"/>
        </w:rPr>
        <w:br w:type="page"/>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center"/>
        <w:rPr>
          <w:rFonts w:hint="eastAsia" w:ascii="方正仿宋_GBK" w:hAnsi="方正仿宋_GBK" w:eastAsia="方正仿宋_GBK" w:cs="方正仿宋_GBK"/>
          <w:b/>
          <w:bCs/>
          <w:spacing w:val="0"/>
          <w:kern w:val="21"/>
          <w:sz w:val="32"/>
          <w:szCs w:val="32"/>
          <w:highlight w:val="none"/>
          <w:lang w:val="en-US" w:eastAsia="zh-CN" w:bidi="ar-SA"/>
        </w:rPr>
      </w:pPr>
      <w:r>
        <w:rPr>
          <w:rFonts w:hint="eastAsia" w:ascii="方正仿宋_GBK" w:hAnsi="方正仿宋_GBK" w:eastAsia="方正仿宋_GBK" w:cs="方正仿宋_GBK"/>
          <w:b/>
          <w:bCs w:val="0"/>
          <w:color w:val="auto"/>
          <w:kern w:val="21"/>
          <w:sz w:val="32"/>
          <w:szCs w:val="32"/>
          <w:highlight w:val="none"/>
          <w:lang w:val="en-US" w:eastAsia="zh-CN" w:bidi="ar-SA"/>
        </w:rPr>
        <w:t>表2  湖南省焦化企业超低排放改造重点项目计划表</w:t>
      </w:r>
    </w:p>
    <w:tbl>
      <w:tblPr>
        <w:tblStyle w:val="9"/>
        <w:tblW w:w="51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099"/>
        <w:gridCol w:w="998"/>
        <w:gridCol w:w="3721"/>
        <w:gridCol w:w="1485"/>
        <w:gridCol w:w="2380"/>
        <w:gridCol w:w="1991"/>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19"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序号</w:t>
            </w:r>
          </w:p>
        </w:tc>
        <w:tc>
          <w:tcPr>
            <w:tcW w:w="359"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市州</w:t>
            </w:r>
          </w:p>
        </w:tc>
        <w:tc>
          <w:tcPr>
            <w:tcW w:w="326"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县区</w:t>
            </w:r>
          </w:p>
        </w:tc>
        <w:tc>
          <w:tcPr>
            <w:tcW w:w="121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企业名称</w:t>
            </w: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焦炉编号</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产能规模（万吨/年）</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炭化室高度（m）</w:t>
            </w:r>
          </w:p>
        </w:tc>
        <w:tc>
          <w:tcPr>
            <w:tcW w:w="966"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bCs/>
                <w:color w:val="auto"/>
                <w:spacing w:val="0"/>
                <w:kern w:val="21"/>
                <w:sz w:val="24"/>
                <w:szCs w:val="24"/>
                <w:highlight w:val="none"/>
                <w:vertAlign w:val="baseline"/>
                <w:lang w:val="en-US" w:eastAsia="zh-CN" w:bidi="ar-SA"/>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1</w:t>
            </w:r>
          </w:p>
        </w:tc>
        <w:tc>
          <w:tcPr>
            <w:tcW w:w="359"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湘潭市</w:t>
            </w:r>
          </w:p>
        </w:tc>
        <w:tc>
          <w:tcPr>
            <w:tcW w:w="326"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岳塘区</w:t>
            </w:r>
          </w:p>
        </w:tc>
        <w:tc>
          <w:tcPr>
            <w:tcW w:w="1215"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湘潭钢铁有限公司</w:t>
            </w: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MF0150</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60</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7</w:t>
            </w:r>
          </w:p>
        </w:tc>
        <w:tc>
          <w:tcPr>
            <w:tcW w:w="966"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w:t>
            </w:r>
            <w: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t>5</w:t>
            </w: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年底前完成超低排放改造和评估监测。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MF0154</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60</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7</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MF0075</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60</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MF0076</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60</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w:t>
            </w:r>
          </w:p>
        </w:tc>
        <w:tc>
          <w:tcPr>
            <w:tcW w:w="359"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326"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娄星区</w:t>
            </w:r>
          </w:p>
        </w:tc>
        <w:tc>
          <w:tcPr>
            <w:tcW w:w="1215"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湖南煤化新能源有限公司</w:t>
            </w: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MF0019</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5.5</w:t>
            </w:r>
          </w:p>
        </w:tc>
        <w:tc>
          <w:tcPr>
            <w:tcW w:w="966"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w:t>
            </w:r>
            <w: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t>5</w:t>
            </w: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年底完成超低排放改造和评估监测。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MF0023</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48</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5.5</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0"/>
                <w:rFonts w:hint="eastAsia" w:ascii="方正仿宋_GBK" w:hAnsi="方正仿宋_GBK" w:eastAsia="方正仿宋_GBK" w:cs="方正仿宋_GBK"/>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3</w:t>
            </w:r>
          </w:p>
        </w:tc>
        <w:tc>
          <w:tcPr>
            <w:tcW w:w="359"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326"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娄星区</w:t>
            </w:r>
          </w:p>
        </w:tc>
        <w:tc>
          <w:tcPr>
            <w:tcW w:w="1215"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涟源钢铁集团有限公司</w:t>
            </w: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MF0049</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58</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w:t>
            </w:r>
          </w:p>
        </w:tc>
        <w:tc>
          <w:tcPr>
            <w:tcW w:w="966"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w:t>
            </w:r>
            <w: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t>5</w:t>
            </w: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年底完成超低排放改造和评估监测。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MF0054</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58</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0"/>
                <w:rFonts w:hint="eastAsia" w:ascii="方正仿宋_GBK" w:hAnsi="方正仿宋_GBK" w:eastAsia="方正仿宋_GBK" w:cs="方正仿宋_GBK"/>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MF0152</w:t>
            </w:r>
          </w:p>
        </w:tc>
        <w:tc>
          <w:tcPr>
            <w:tcW w:w="777"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64</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7.1</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0"/>
                <w:rFonts w:hint="eastAsia" w:ascii="方正仿宋_GBK" w:hAnsi="方正仿宋_GBK" w:eastAsia="方正仿宋_GBK" w:cs="方正仿宋_GBK"/>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w:t>
            </w:r>
          </w:p>
        </w:tc>
        <w:tc>
          <w:tcPr>
            <w:tcW w:w="359"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娄底市</w:t>
            </w:r>
          </w:p>
        </w:tc>
        <w:tc>
          <w:tcPr>
            <w:tcW w:w="326"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涟源市</w:t>
            </w:r>
          </w:p>
        </w:tc>
        <w:tc>
          <w:tcPr>
            <w:tcW w:w="1215"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涟源市汇源煤气有限公司</w:t>
            </w: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MF0011</w:t>
            </w:r>
          </w:p>
        </w:tc>
        <w:tc>
          <w:tcPr>
            <w:tcW w:w="777"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60</w:t>
            </w: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966"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2025年底前淘汰退出现有炼焦设施。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59"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32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1215"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sz w:val="24"/>
                <w:szCs w:val="24"/>
                <w:highlight w:val="none"/>
              </w:rPr>
            </w:pPr>
          </w:p>
        </w:tc>
        <w:tc>
          <w:tcPr>
            <w:tcW w:w="485"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MF0019</w:t>
            </w:r>
          </w:p>
        </w:tc>
        <w:tc>
          <w:tcPr>
            <w:tcW w:w="777"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650" w:type="pc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966" w:type="pct"/>
            <w:vMerge w:val="continue"/>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Style w:val="10"/>
                <w:rFonts w:hint="eastAsia" w:ascii="方正仿宋_GBK" w:hAnsi="方正仿宋_GBK" w:eastAsia="方正仿宋_GBK" w:cs="方正仿宋_GBK"/>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right="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5</w:t>
            </w:r>
          </w:p>
        </w:tc>
        <w:tc>
          <w:tcPr>
            <w:tcW w:w="359"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郴州市</w:t>
            </w:r>
          </w:p>
        </w:tc>
        <w:tc>
          <w:tcPr>
            <w:tcW w:w="326"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pPr>
            <w:r>
              <w:rPr>
                <w:rFonts w:hint="eastAsia" w:ascii="方正仿宋_GBK" w:hAnsi="方正仿宋_GBK" w:eastAsia="方正仿宋_GBK" w:cs="方正仿宋_GBK"/>
                <w:b w:val="0"/>
                <w:bCs w:val="0"/>
                <w:i w:val="0"/>
                <w:iCs w:val="0"/>
                <w:color w:val="auto"/>
                <w:kern w:val="21"/>
                <w:sz w:val="24"/>
                <w:szCs w:val="24"/>
                <w:highlight w:val="none"/>
                <w:u w:val="none"/>
                <w:lang w:val="en-US" w:eastAsia="zh-CN" w:bidi="ar"/>
              </w:rPr>
              <w:t>资兴市</w:t>
            </w:r>
          </w:p>
        </w:tc>
        <w:tc>
          <w:tcPr>
            <w:tcW w:w="1215" w:type="pct"/>
            <w:vMerge w:val="restart"/>
            <w:noWrap w:val="0"/>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湖南资兴焦电股份有限公司</w:t>
            </w:r>
          </w:p>
        </w:tc>
        <w:tc>
          <w:tcPr>
            <w:tcW w:w="485"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MF0001</w:t>
            </w:r>
          </w:p>
        </w:tc>
        <w:tc>
          <w:tcPr>
            <w:tcW w:w="777" w:type="pct"/>
            <w:vMerge w:val="restar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21</w:t>
            </w:r>
          </w:p>
        </w:tc>
        <w:tc>
          <w:tcPr>
            <w:tcW w:w="650"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96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2027年底前淘汰退出现有炼焦设施。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sz w:val="24"/>
                <w:szCs w:val="24"/>
                <w:highlight w:val="none"/>
              </w:rPr>
            </w:pPr>
          </w:p>
        </w:tc>
        <w:tc>
          <w:tcPr>
            <w:tcW w:w="35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sz w:val="24"/>
                <w:szCs w:val="24"/>
                <w:highlight w:val="none"/>
              </w:rPr>
            </w:pPr>
          </w:p>
        </w:tc>
        <w:tc>
          <w:tcPr>
            <w:tcW w:w="32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sz w:val="24"/>
                <w:szCs w:val="24"/>
                <w:highlight w:val="none"/>
              </w:rPr>
            </w:pPr>
          </w:p>
        </w:tc>
        <w:tc>
          <w:tcPr>
            <w:tcW w:w="1215"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方正仿宋_GBK" w:hAnsi="方正仿宋_GBK" w:eastAsia="方正仿宋_GBK" w:cs="方正仿宋_GBK"/>
                <w:sz w:val="24"/>
                <w:szCs w:val="24"/>
                <w:highlight w:val="none"/>
              </w:rPr>
            </w:pPr>
          </w:p>
        </w:tc>
        <w:tc>
          <w:tcPr>
            <w:tcW w:w="485"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MF0002</w:t>
            </w:r>
          </w:p>
        </w:tc>
        <w:tc>
          <w:tcPr>
            <w:tcW w:w="777" w:type="pct"/>
            <w:vMerge w:val="continue"/>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p>
        </w:tc>
        <w:tc>
          <w:tcPr>
            <w:tcW w:w="650" w:type="pct"/>
            <w:noWrap w:val="0"/>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pPr>
            <w:r>
              <w:rPr>
                <w:rFonts w:hint="eastAsia" w:ascii="方正仿宋_GBK" w:hAnsi="方正仿宋_GBK" w:eastAsia="方正仿宋_GBK" w:cs="方正仿宋_GBK"/>
                <w:b w:val="0"/>
                <w:bCs w:val="0"/>
                <w:color w:val="auto"/>
                <w:spacing w:val="0"/>
                <w:kern w:val="21"/>
                <w:sz w:val="24"/>
                <w:szCs w:val="24"/>
                <w:highlight w:val="none"/>
                <w:vertAlign w:val="baseline"/>
                <w:lang w:val="en-US" w:eastAsia="zh-CN" w:bidi="ar-SA"/>
              </w:rPr>
              <w:t>4.3</w:t>
            </w:r>
          </w:p>
        </w:tc>
        <w:tc>
          <w:tcPr>
            <w:tcW w:w="96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Style w:val="10"/>
                <w:rFonts w:hint="eastAsia" w:ascii="方正仿宋_GBK" w:hAnsi="方正仿宋_GBK" w:eastAsia="方正仿宋_GBK" w:cs="方正仿宋_GBK"/>
                <w:kern w:val="2"/>
                <w:sz w:val="24"/>
                <w:szCs w:val="24"/>
                <w:highlight w:val="none"/>
                <w:lang w:val="en-US" w:eastAsia="zh-CN" w:bidi="ar-SA"/>
              </w:rPr>
            </w:pPr>
          </w:p>
        </w:tc>
      </w:tr>
    </w:tbl>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锐正黑_GBK 中" w:hAnsi="方正锐正黑_GBK 中" w:eastAsia="方正锐正黑_GBK 中" w:cs="方正锐正黑_GBK 中"/>
          <w:i w:val="0"/>
          <w:iCs w:val="0"/>
          <w:caps w:val="0"/>
          <w:color w:val="333333"/>
          <w:spacing w:val="0"/>
          <w:kern w:val="21"/>
          <w:sz w:val="32"/>
          <w:szCs w:val="32"/>
          <w:highlight w:val="none"/>
          <w:shd w:val="clear" w:color="auto" w:fill="FFFFFF"/>
          <w:lang w:val="en-US" w:eastAsia="zh-CN"/>
        </w:r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锐正黑_GBK 中" w:hAnsi="方正锐正黑_GBK 中" w:eastAsia="方正锐正黑_GBK 中" w:cs="方正锐正黑_GBK 中"/>
          <w:i w:val="0"/>
          <w:iCs w:val="0"/>
          <w:caps w:val="0"/>
          <w:color w:val="333333"/>
          <w:spacing w:val="0"/>
          <w:kern w:val="21"/>
          <w:sz w:val="32"/>
          <w:szCs w:val="32"/>
          <w:highlight w:val="none"/>
          <w:shd w:val="clear" w:color="auto" w:fill="FFFFFF"/>
          <w:lang w:val="en-US" w:eastAsia="zh-CN"/>
        </w:rPr>
        <w:sectPr>
          <w:pgSz w:w="16838" w:h="11906" w:orient="landscape"/>
          <w:pgMar w:top="1531" w:right="1134" w:bottom="1474" w:left="1134" w:header="851" w:footer="1247" w:gutter="0"/>
          <w:pgNumType w:fmt="numberInDash"/>
          <w:cols w:space="0" w:num="1"/>
          <w:titlePg/>
          <w:rtlGutter w:val="0"/>
          <w:docGrid w:type="linesAndChars" w:linePitch="593" w:charSpace="-432"/>
        </w:sect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Lines="0" w:beforeAutospacing="0" w:after="0" w:afterLines="0" w:afterAutospacing="0" w:line="600" w:lineRule="exact"/>
        <w:ind w:right="0" w:firstLine="0" w:firstLineChars="0"/>
        <w:jc w:val="both"/>
        <w:rPr>
          <w:rFonts w:hint="eastAsia" w:ascii="方正黑体_GBK" w:hAnsi="方正黑体_GBK" w:eastAsia="方正黑体_GBK" w:cs="方正黑体_GBK"/>
          <w:i w:val="0"/>
          <w:iCs w:val="0"/>
          <w:caps w:val="0"/>
          <w:snapToGrid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snapToGrid w:val="0"/>
          <w:color w:val="333333"/>
          <w:spacing w:val="0"/>
          <w:kern w:val="21"/>
          <w:sz w:val="32"/>
          <w:szCs w:val="32"/>
          <w:highlight w:val="none"/>
          <w:shd w:val="clear" w:color="auto" w:fill="FFFFFF"/>
          <w:lang w:val="en-US" w:eastAsia="zh-CN"/>
        </w:rPr>
        <w:t>附件2</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418" w:beforeLines="70" w:beforeAutospacing="0" w:after="299" w:afterLines="50" w:afterAutospacing="0" w:line="600" w:lineRule="exact"/>
        <w:ind w:right="0" w:firstLine="0" w:firstLineChars="0"/>
        <w:jc w:val="center"/>
        <w:rPr>
          <w:rFonts w:hint="eastAsia" w:ascii="方正小标宋_GBK" w:hAnsi="方正小标宋_GBK" w:eastAsia="方正小标宋_GBK" w:cs="方正小标宋_GBK"/>
          <w:i w:val="0"/>
          <w:iCs w:val="0"/>
          <w:caps w:val="0"/>
          <w:snapToGrid w:val="0"/>
          <w:color w:val="333333"/>
          <w:spacing w:val="0"/>
          <w:kern w:val="21"/>
          <w:sz w:val="40"/>
          <w:szCs w:val="40"/>
          <w:highlight w:val="none"/>
          <w:shd w:val="clear" w:color="auto" w:fill="FFFFFF"/>
          <w:lang w:val="en-US" w:eastAsia="zh-CN"/>
        </w:rPr>
      </w:pPr>
      <w:r>
        <w:rPr>
          <w:rFonts w:hint="eastAsia" w:ascii="方正小标宋_GBK" w:hAnsi="方正小标宋_GBK" w:eastAsia="方正小标宋_GBK" w:cs="方正小标宋_GBK"/>
          <w:i w:val="0"/>
          <w:iCs w:val="0"/>
          <w:caps w:val="0"/>
          <w:snapToGrid w:val="0"/>
          <w:color w:val="333333"/>
          <w:spacing w:val="0"/>
          <w:kern w:val="21"/>
          <w:sz w:val="40"/>
          <w:szCs w:val="40"/>
          <w:highlight w:val="none"/>
          <w:shd w:val="clear" w:color="auto" w:fill="FFFFFF"/>
          <w:lang w:val="en-US" w:eastAsia="zh-CN"/>
        </w:rPr>
        <w:t>有组织排放指标限值</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Lines="0" w:beforeAutospacing="0" w:after="0" w:afterLines="0" w:afterAutospacing="0" w:line="600" w:lineRule="exact"/>
        <w:ind w:right="0" w:firstLine="0" w:firstLineChars="0"/>
        <w:jc w:val="center"/>
        <w:rPr>
          <w:rFonts w:hint="eastAsia" w:ascii="方正仿宋_GBK" w:hAnsi="方正仿宋_GBK" w:eastAsia="方正仿宋_GBK" w:cs="方正仿宋_GBK"/>
          <w:b/>
          <w:bCs w:val="0"/>
          <w:snapToGrid w:val="0"/>
          <w:color w:val="auto"/>
          <w:kern w:val="21"/>
          <w:sz w:val="32"/>
          <w:szCs w:val="32"/>
          <w:highlight w:val="none"/>
          <w:lang w:val="en-US" w:eastAsia="zh-CN" w:bidi="ar-SA"/>
        </w:rPr>
      </w:pPr>
      <w:r>
        <w:rPr>
          <w:rFonts w:hint="eastAsia" w:ascii="方正仿宋_GBK" w:hAnsi="方正仿宋_GBK" w:eastAsia="方正仿宋_GBK" w:cs="方正仿宋_GBK"/>
          <w:b/>
          <w:bCs w:val="0"/>
          <w:snapToGrid w:val="0"/>
          <w:color w:val="auto"/>
          <w:kern w:val="21"/>
          <w:sz w:val="32"/>
          <w:szCs w:val="32"/>
          <w:highlight w:val="none"/>
          <w:lang w:val="en-US" w:eastAsia="zh-CN" w:bidi="ar-SA"/>
        </w:rPr>
        <w:t>表1  水泥行业有组织排放指标限值</w:t>
      </w:r>
    </w:p>
    <w:p>
      <w:pPr>
        <w:pStyle w:val="2"/>
        <w:adjustRightInd w:val="0"/>
        <w:snapToGrid w:val="0"/>
        <w:spacing w:before="0" w:beforeLines="0" w:afterLines="0" w:line="600" w:lineRule="exact"/>
        <w:ind w:firstLine="574" w:firstLineChars="200"/>
        <w:jc w:val="right"/>
        <w:rPr>
          <w:rFonts w:hint="eastAsia" w:ascii="方正楷体_GBK" w:hAnsi="方正楷体_GBK" w:eastAsia="方正楷体_GBK" w:cs="方正楷体_GBK"/>
          <w:snapToGrid w:val="0"/>
          <w:kern w:val="21"/>
          <w:sz w:val="28"/>
          <w:szCs w:val="28"/>
          <w:highlight w:val="none"/>
        </w:rPr>
      </w:pPr>
      <w:r>
        <w:rPr>
          <w:rFonts w:hint="eastAsia" w:ascii="方正楷体_GBK" w:hAnsi="方正楷体_GBK" w:eastAsia="方正楷体_GBK" w:cs="方正楷体_GBK"/>
          <w:b w:val="0"/>
          <w:bCs w:val="0"/>
          <w:snapToGrid w:val="0"/>
          <w:spacing w:val="0"/>
          <w:kern w:val="21"/>
          <w:sz w:val="28"/>
          <w:szCs w:val="28"/>
          <w:highlight w:val="none"/>
        </w:rPr>
        <w:t>单位：毫克/立方米</w:t>
      </w:r>
    </w:p>
    <w:tbl>
      <w:tblPr>
        <w:tblStyle w:val="13"/>
        <w:tblW w:w="9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27"/>
        <w:gridCol w:w="1065"/>
        <w:gridCol w:w="1040"/>
        <w:gridCol w:w="1122"/>
        <w:gridCol w:w="1638"/>
        <w:gridCol w:w="13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3327" w:type="dxa"/>
            <w:vMerge w:val="restart"/>
            <w:tcBorders>
              <w:top w:val="single" w:color="000000" w:sz="6" w:space="0"/>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lang w:val="en-US" w:eastAsia="zh-CN"/>
              </w:rPr>
            </w:pPr>
            <w:r>
              <w:rPr>
                <w:rFonts w:hint="eastAsia" w:ascii="方正仿宋_GBK" w:hAnsi="方正仿宋_GBK" w:eastAsia="方正仿宋_GBK" w:cs="方正仿宋_GBK"/>
                <w:b/>
                <w:bCs/>
                <w:spacing w:val="0"/>
                <w:kern w:val="21"/>
                <w:sz w:val="24"/>
                <w:szCs w:val="24"/>
                <w:highlight w:val="none"/>
              </w:rPr>
              <w:t>排放环节</w:t>
            </w:r>
          </w:p>
        </w:tc>
        <w:tc>
          <w:tcPr>
            <w:tcW w:w="1065" w:type="dxa"/>
            <w:vMerge w:val="restart"/>
            <w:tcBorders>
              <w:top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基准含氧量（%）</w:t>
            </w:r>
          </w:p>
        </w:tc>
        <w:tc>
          <w:tcPr>
            <w:tcW w:w="5166" w:type="dxa"/>
            <w:gridSpan w:val="4"/>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污染物项目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jc w:val="center"/>
        </w:trPr>
        <w:tc>
          <w:tcPr>
            <w:tcW w:w="3327"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p>
        </w:tc>
        <w:tc>
          <w:tcPr>
            <w:tcW w:w="106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颗粒物</w:t>
            </w:r>
          </w:p>
        </w:tc>
        <w:tc>
          <w:tcPr>
            <w:tcW w:w="11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二氧化硫</w:t>
            </w:r>
          </w:p>
        </w:tc>
        <w:tc>
          <w:tcPr>
            <w:tcW w:w="1638"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氮氧化物</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（以NO</w:t>
            </w:r>
            <w:r>
              <w:rPr>
                <w:rFonts w:hint="eastAsia" w:ascii="方正仿宋_GBK" w:hAnsi="方正仿宋_GBK" w:eastAsia="方正仿宋_GBK" w:cs="方正仿宋_GBK"/>
                <w:b/>
                <w:bCs/>
                <w:kern w:val="21"/>
                <w:position w:val="0"/>
                <w:sz w:val="24"/>
                <w:szCs w:val="24"/>
                <w:highlight w:val="none"/>
                <w:vertAlign w:val="subscript"/>
              </w:rPr>
              <w:t>2</w:t>
            </w:r>
            <w:r>
              <w:rPr>
                <w:rFonts w:hint="eastAsia" w:ascii="方正仿宋_GBK" w:hAnsi="方正仿宋_GBK" w:eastAsia="方正仿宋_GBK" w:cs="方正仿宋_GBK"/>
                <w:b/>
                <w:bCs/>
                <w:spacing w:val="0"/>
                <w:kern w:val="21"/>
                <w:sz w:val="24"/>
                <w:szCs w:val="24"/>
                <w:highlight w:val="none"/>
              </w:rPr>
              <w:t>计）</w:t>
            </w:r>
          </w:p>
        </w:tc>
        <w:tc>
          <w:tcPr>
            <w:tcW w:w="1366"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lang w:val="en-US" w:eastAsia="zh-CN"/>
              </w:rPr>
            </w:pPr>
            <w:r>
              <w:rPr>
                <w:rFonts w:hint="eastAsia" w:ascii="方正仿宋_GBK" w:hAnsi="方正仿宋_GBK" w:eastAsia="方正仿宋_GBK" w:cs="方正仿宋_GBK"/>
                <w:b/>
                <w:bCs/>
                <w:spacing w:val="0"/>
                <w:kern w:val="21"/>
                <w:sz w:val="24"/>
                <w:szCs w:val="24"/>
                <w:highlight w:val="none"/>
                <w:lang w:val="en-US" w:eastAsia="zh-CN"/>
              </w:rPr>
              <w:t>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3327"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水泥窑及窑尾余热利用系统</w:t>
            </w:r>
          </w:p>
        </w:tc>
        <w:tc>
          <w:tcPr>
            <w:tcW w:w="106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10</w:t>
            </w:r>
          </w:p>
        </w:tc>
        <w:tc>
          <w:tcPr>
            <w:tcW w:w="1040"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10</w:t>
            </w:r>
          </w:p>
        </w:tc>
        <w:tc>
          <w:tcPr>
            <w:tcW w:w="1122"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35</w:t>
            </w:r>
          </w:p>
        </w:tc>
        <w:tc>
          <w:tcPr>
            <w:tcW w:w="1638"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50</w:t>
            </w:r>
          </w:p>
        </w:tc>
        <w:tc>
          <w:tcPr>
            <w:tcW w:w="136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lang w:val="en-US" w:eastAsia="zh-CN"/>
              </w:rPr>
            </w:pPr>
            <w:r>
              <w:rPr>
                <w:rFonts w:hint="eastAsia" w:ascii="方正仿宋_GBK" w:hAnsi="方正仿宋_GBK" w:eastAsia="方正仿宋_GBK" w:cs="方正仿宋_GBK"/>
                <w:spacing w:val="0"/>
                <w:kern w:val="21"/>
                <w:sz w:val="24"/>
                <w:szCs w:val="24"/>
                <w:highlight w:val="none"/>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3327"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水泥窑窑头（冷却机）</w:t>
            </w:r>
          </w:p>
        </w:tc>
        <w:tc>
          <w:tcPr>
            <w:tcW w:w="106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040"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10</w:t>
            </w:r>
          </w:p>
        </w:tc>
        <w:tc>
          <w:tcPr>
            <w:tcW w:w="1122"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638"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36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position w:val="0"/>
                <w:sz w:val="24"/>
                <w:szCs w:val="24"/>
                <w:highlight w:val="none"/>
              </w:rPr>
            </w:pPr>
            <w:r>
              <w:rPr>
                <w:rFonts w:hint="eastAsia" w:ascii="方正仿宋_GBK" w:hAnsi="方正仿宋_GBK" w:eastAsia="方正仿宋_GBK" w:cs="方正仿宋_GBK"/>
                <w:kern w:val="21"/>
                <w:position w:val="0"/>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3327"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烘干机、烘干磨、煤磨</w:t>
            </w:r>
          </w:p>
        </w:tc>
        <w:tc>
          <w:tcPr>
            <w:tcW w:w="106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lang w:val="en-US" w:eastAsia="zh-CN"/>
              </w:rPr>
            </w:pPr>
            <w:r>
              <w:rPr>
                <w:rFonts w:hint="eastAsia" w:ascii="方正仿宋_GBK" w:hAnsi="方正仿宋_GBK" w:eastAsia="方正仿宋_GBK" w:cs="方正仿宋_GBK"/>
                <w:spacing w:val="0"/>
                <w:kern w:val="21"/>
                <w:sz w:val="24"/>
                <w:szCs w:val="24"/>
                <w:highlight w:val="none"/>
              </w:rPr>
              <w:t>实测值</w:t>
            </w:r>
            <w:r>
              <w:rPr>
                <w:rFonts w:hint="eastAsia" w:ascii="方正仿宋_GBK" w:hAnsi="方正仿宋_GBK" w:eastAsia="方正仿宋_GBK" w:cs="方正仿宋_GBK"/>
                <w:spacing w:val="0"/>
                <w:kern w:val="21"/>
                <w:sz w:val="24"/>
                <w:szCs w:val="24"/>
                <w:highlight w:val="none"/>
                <w:vertAlign w:val="superscript"/>
                <w:lang w:val="en-US" w:eastAsia="zh-CN"/>
              </w:rPr>
              <w:t>a</w:t>
            </w:r>
          </w:p>
        </w:tc>
        <w:tc>
          <w:tcPr>
            <w:tcW w:w="1040"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10</w:t>
            </w:r>
          </w:p>
        </w:tc>
        <w:tc>
          <w:tcPr>
            <w:tcW w:w="1122" w:type="dxa"/>
            <w:noWrap w:val="0"/>
            <w:vAlign w:val="center"/>
          </w:tcPr>
          <w:p>
            <w:pPr>
              <w:keepNext w:val="0"/>
              <w:keepLines w:val="0"/>
              <w:pageBreakBefore w:val="0"/>
              <w:widowControl w:val="0"/>
              <w:tabs>
                <w:tab w:val="left" w:pos="758"/>
              </w:tabs>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p>
        </w:tc>
        <w:tc>
          <w:tcPr>
            <w:tcW w:w="1638" w:type="dxa"/>
            <w:tcBorders>
              <w:right w:val="single" w:color="000000" w:sz="6" w:space="0"/>
            </w:tcBorders>
            <w:noWrap w:val="0"/>
            <w:vAlign w:val="center"/>
          </w:tcPr>
          <w:p>
            <w:pPr>
              <w:keepNext w:val="0"/>
              <w:keepLines w:val="0"/>
              <w:pageBreakBefore w:val="0"/>
              <w:widowControl w:val="0"/>
              <w:tabs>
                <w:tab w:val="left" w:pos="963"/>
              </w:tabs>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p>
        </w:tc>
        <w:tc>
          <w:tcPr>
            <w:tcW w:w="1366" w:type="dxa"/>
            <w:tcBorders>
              <w:right w:val="single" w:color="000000" w:sz="6" w:space="0"/>
            </w:tcBorders>
            <w:noWrap w:val="0"/>
            <w:vAlign w:val="center"/>
          </w:tcPr>
          <w:p>
            <w:pPr>
              <w:keepNext w:val="0"/>
              <w:keepLines w:val="0"/>
              <w:pageBreakBefore w:val="0"/>
              <w:widowControl w:val="0"/>
              <w:tabs>
                <w:tab w:val="left" w:pos="963"/>
              </w:tabs>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u w:val="singl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3327"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破碎机、磨机、包装机</w:t>
            </w:r>
          </w:p>
        </w:tc>
        <w:tc>
          <w:tcPr>
            <w:tcW w:w="106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040"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10</w:t>
            </w:r>
          </w:p>
        </w:tc>
        <w:tc>
          <w:tcPr>
            <w:tcW w:w="1122" w:type="dxa"/>
            <w:noWrap w:val="0"/>
            <w:vAlign w:val="center"/>
          </w:tcPr>
          <w:p>
            <w:pPr>
              <w:keepNext w:val="0"/>
              <w:keepLines w:val="0"/>
              <w:pageBreakBefore w:val="0"/>
              <w:widowControl w:val="0"/>
              <w:tabs>
                <w:tab w:val="left" w:pos="758"/>
              </w:tabs>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p>
        </w:tc>
        <w:tc>
          <w:tcPr>
            <w:tcW w:w="1638" w:type="dxa"/>
            <w:tcBorders>
              <w:right w:val="single" w:color="000000" w:sz="6" w:space="0"/>
            </w:tcBorders>
            <w:noWrap w:val="0"/>
            <w:vAlign w:val="center"/>
          </w:tcPr>
          <w:p>
            <w:pPr>
              <w:keepNext w:val="0"/>
              <w:keepLines w:val="0"/>
              <w:pageBreakBefore w:val="0"/>
              <w:widowControl w:val="0"/>
              <w:tabs>
                <w:tab w:val="left" w:pos="963"/>
              </w:tabs>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p>
        </w:tc>
        <w:tc>
          <w:tcPr>
            <w:tcW w:w="1366" w:type="dxa"/>
            <w:tcBorders>
              <w:right w:val="single" w:color="000000" w:sz="6" w:space="0"/>
            </w:tcBorders>
            <w:noWrap w:val="0"/>
            <w:vAlign w:val="center"/>
          </w:tcPr>
          <w:p>
            <w:pPr>
              <w:keepNext w:val="0"/>
              <w:keepLines w:val="0"/>
              <w:pageBreakBefore w:val="0"/>
              <w:widowControl w:val="0"/>
              <w:tabs>
                <w:tab w:val="left" w:pos="963"/>
              </w:tabs>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u w:val="singl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jc w:val="center"/>
        </w:trPr>
        <w:tc>
          <w:tcPr>
            <w:tcW w:w="3327" w:type="dxa"/>
            <w:tcBorders>
              <w:left w:val="single" w:color="000000" w:sz="6"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输送设备、水泥仓及其他通风生产设备</w:t>
            </w:r>
          </w:p>
        </w:tc>
        <w:tc>
          <w:tcPr>
            <w:tcW w:w="1065" w:type="dxa"/>
            <w:tcBorders>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040" w:type="dxa"/>
            <w:tcBorders>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10</w:t>
            </w:r>
          </w:p>
        </w:tc>
        <w:tc>
          <w:tcPr>
            <w:tcW w:w="1122" w:type="dxa"/>
            <w:tcBorders>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638" w:type="dxa"/>
            <w:tcBorders>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kern w:val="21"/>
                <w:position w:val="0"/>
                <w:sz w:val="24"/>
                <w:szCs w:val="24"/>
                <w:highlight w:val="none"/>
              </w:rPr>
              <w:t>—</w:t>
            </w:r>
          </w:p>
        </w:tc>
        <w:tc>
          <w:tcPr>
            <w:tcW w:w="1366" w:type="dxa"/>
            <w:tcBorders>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position w:val="0"/>
                <w:sz w:val="24"/>
                <w:szCs w:val="24"/>
                <w:highlight w:val="none"/>
              </w:rPr>
            </w:pPr>
            <w:r>
              <w:rPr>
                <w:rFonts w:hint="eastAsia" w:ascii="方正仿宋_GBK" w:hAnsi="方正仿宋_GBK" w:eastAsia="方正仿宋_GBK" w:cs="方正仿宋_GBK"/>
                <w:kern w:val="21"/>
                <w:position w:val="0"/>
                <w:sz w:val="24"/>
                <w:szCs w:val="24"/>
                <w:highlight w:val="none"/>
              </w:rPr>
              <w:t>—</w:t>
            </w:r>
          </w:p>
        </w:tc>
      </w:tr>
    </w:tbl>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494" w:firstLineChars="200"/>
        <w:jc w:val="both"/>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注</w:t>
      </w:r>
      <w:r>
        <w:rPr>
          <w:rFonts w:hint="eastAsia" w:ascii="方正仿宋_GBK" w:hAnsi="方正仿宋_GBK" w:eastAsia="方正仿宋_GBK" w:cs="方正仿宋_GBK"/>
          <w:spacing w:val="0"/>
          <w:kern w:val="21"/>
          <w:position w:val="0"/>
          <w:sz w:val="24"/>
          <w:szCs w:val="24"/>
          <w:highlight w:val="none"/>
          <w:lang w:eastAsia="zh-CN"/>
        </w:rPr>
        <w:t>：</w:t>
      </w:r>
      <w:r>
        <w:rPr>
          <w:rFonts w:hint="eastAsia" w:ascii="方正仿宋_GBK" w:hAnsi="方正仿宋_GBK" w:eastAsia="方正仿宋_GBK" w:cs="方正仿宋_GBK"/>
          <w:spacing w:val="0"/>
          <w:kern w:val="21"/>
          <w:position w:val="0"/>
          <w:sz w:val="24"/>
          <w:szCs w:val="24"/>
          <w:highlight w:val="none"/>
          <w:vertAlign w:val="superscript"/>
          <w:lang w:val="en-US" w:eastAsia="zh-CN"/>
        </w:rPr>
        <w:t>a</w:t>
      </w:r>
      <w:r>
        <w:rPr>
          <w:rFonts w:hint="eastAsia" w:ascii="方正仿宋_GBK" w:hAnsi="方正仿宋_GBK" w:eastAsia="方正仿宋_GBK" w:cs="方正仿宋_GBK"/>
          <w:spacing w:val="0"/>
          <w:kern w:val="21"/>
          <w:position w:val="0"/>
          <w:sz w:val="24"/>
          <w:szCs w:val="24"/>
          <w:highlight w:val="none"/>
        </w:rPr>
        <w:t>采用窑头余热，或采用经脱硫脱硝并达到超低排放要求的窑尾烟气。</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494" w:firstLineChars="200"/>
        <w:jc w:val="both"/>
        <w:textAlignment w:val="auto"/>
        <w:rPr>
          <w:rFonts w:hint="eastAsia" w:ascii="方正仿宋_GBK" w:hAnsi="方正仿宋_GBK" w:eastAsia="方正仿宋_GBK" w:cs="方正仿宋_GBK"/>
          <w:spacing w:val="0"/>
          <w:kern w:val="21"/>
          <w:position w:val="0"/>
          <w:sz w:val="24"/>
          <w:szCs w:val="24"/>
          <w:highlight w:val="none"/>
        </w:rPr>
      </w:pPr>
    </w:p>
    <w:p>
      <w:pPr>
        <w:rPr>
          <w:highlight w:val="none"/>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en-US"/>
        </w:rPr>
      </w:pPr>
      <w:r>
        <w:rPr>
          <w:rFonts w:hint="eastAsia" w:ascii="方正仿宋_GBK" w:hAnsi="方正仿宋_GBK" w:eastAsia="方正仿宋_GBK" w:cs="方正仿宋_GBK"/>
          <w:b/>
          <w:bCs w:val="0"/>
          <w:color w:val="auto"/>
          <w:kern w:val="21"/>
          <w:sz w:val="32"/>
          <w:szCs w:val="32"/>
          <w:highlight w:val="none"/>
          <w:lang w:val="en-US" w:eastAsia="zh-CN"/>
        </w:rPr>
        <w:t>表2  焦化行业</w:t>
      </w:r>
      <w:r>
        <w:rPr>
          <w:rFonts w:hint="eastAsia" w:ascii="方正仿宋_GBK" w:hAnsi="方正仿宋_GBK" w:eastAsia="方正仿宋_GBK" w:cs="方正仿宋_GBK"/>
          <w:b/>
          <w:bCs w:val="0"/>
          <w:color w:val="auto"/>
          <w:kern w:val="21"/>
          <w:sz w:val="32"/>
          <w:szCs w:val="32"/>
          <w:highlight w:val="none"/>
          <w:lang w:val="en-US" w:eastAsia="en-US"/>
        </w:rPr>
        <w:t>有组织排放指标限值</w:t>
      </w:r>
    </w:p>
    <w:p>
      <w:pPr>
        <w:kinsoku/>
        <w:autoSpaceDE/>
        <w:autoSpaceDN/>
        <w:adjustRightInd w:val="0"/>
        <w:snapToGrid w:val="0"/>
        <w:spacing w:before="0" w:line="600" w:lineRule="exact"/>
        <w:ind w:right="0" w:firstLine="574" w:firstLineChars="200"/>
        <w:jc w:val="right"/>
        <w:textAlignment w:val="baseline"/>
        <w:rPr>
          <w:rFonts w:hint="eastAsia" w:ascii="方正楷体_GBK" w:hAnsi="方正楷体_GBK" w:eastAsia="方正楷体_GBK" w:cs="方正楷体_GBK"/>
          <w:snapToGrid w:val="0"/>
          <w:color w:val="000000"/>
          <w:kern w:val="21"/>
          <w:sz w:val="28"/>
          <w:szCs w:val="28"/>
          <w:highlight w:val="none"/>
          <w:lang w:val="en-US" w:eastAsia="en-US" w:bidi="ar-SA"/>
        </w:rPr>
      </w:pPr>
      <w:r>
        <w:rPr>
          <w:rFonts w:hint="eastAsia" w:ascii="方正楷体_GBK" w:hAnsi="方正楷体_GBK" w:eastAsia="方正楷体_GBK" w:cs="方正楷体_GBK"/>
          <w:b w:val="0"/>
          <w:bCs w:val="0"/>
          <w:snapToGrid w:val="0"/>
          <w:color w:val="000000"/>
          <w:spacing w:val="0"/>
          <w:kern w:val="21"/>
          <w:sz w:val="28"/>
          <w:szCs w:val="28"/>
          <w:highlight w:val="none"/>
          <w:lang w:val="en-US" w:eastAsia="en-US" w:bidi="ar-SA"/>
        </w:rPr>
        <w:t>单位：毫克/立方米</w:t>
      </w:r>
    </w:p>
    <w:tbl>
      <w:tblPr>
        <w:tblStyle w:val="13"/>
        <w:tblW w:w="5265" w:type="pct"/>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210"/>
        <w:gridCol w:w="1303"/>
        <w:gridCol w:w="820"/>
        <w:gridCol w:w="1018"/>
        <w:gridCol w:w="1365"/>
        <w:gridCol w:w="995"/>
        <w:gridCol w:w="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20" w:type="pct"/>
            <w:vMerge w:val="restart"/>
            <w:tcBorders>
              <w:top w:val="single" w:color="000000" w:sz="6" w:space="0"/>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排放环节</w:t>
            </w:r>
          </w:p>
        </w:tc>
        <w:tc>
          <w:tcPr>
            <w:tcW w:w="698" w:type="pct"/>
            <w:vMerge w:val="restart"/>
            <w:tcBorders>
              <w:top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spacing w:val="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基准含氧量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w:t>
            </w:r>
          </w:p>
        </w:tc>
        <w:tc>
          <w:tcPr>
            <w:tcW w:w="2580" w:type="pct"/>
            <w:gridSpan w:val="5"/>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污染物项目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20" w:type="pct"/>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p>
        </w:tc>
        <w:tc>
          <w:tcPr>
            <w:tcW w:w="698"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颗粒物</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二氧化硫</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spacing w:val="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氮氧化物</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（以NO</w:t>
            </w:r>
            <w:r>
              <w:rPr>
                <w:rFonts w:hint="eastAsia" w:ascii="方正仿宋_GBK" w:hAnsi="方正仿宋_GBK" w:eastAsia="方正仿宋_GBK" w:cs="方正仿宋_GBK"/>
                <w:b/>
                <w:bCs/>
                <w:snapToGrid w:val="0"/>
                <w:color w:val="000000"/>
                <w:kern w:val="21"/>
                <w:position w:val="0"/>
                <w:sz w:val="24"/>
                <w:szCs w:val="24"/>
                <w:highlight w:val="none"/>
                <w:vertAlign w:val="subscript"/>
                <w:lang w:eastAsia="en-US"/>
              </w:rPr>
              <w:t>2</w:t>
            </w:r>
            <w:r>
              <w:rPr>
                <w:rFonts w:hint="eastAsia" w:ascii="方正仿宋_GBK" w:hAnsi="方正仿宋_GBK" w:eastAsia="方正仿宋_GBK" w:cs="方正仿宋_GBK"/>
                <w:b/>
                <w:bCs/>
                <w:snapToGrid w:val="0"/>
                <w:color w:val="000000"/>
                <w:spacing w:val="0"/>
                <w:kern w:val="21"/>
                <w:sz w:val="24"/>
                <w:szCs w:val="24"/>
                <w:highlight w:val="none"/>
                <w:lang w:eastAsia="en-US"/>
              </w:rPr>
              <w:t>计）</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spacing w:val="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非甲烷</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spacing w:val="0"/>
                <w:kern w:val="21"/>
                <w:sz w:val="24"/>
                <w:szCs w:val="24"/>
                <w:highlight w:val="none"/>
                <w:lang w:eastAsia="en-US"/>
              </w:rPr>
              <w:t>总烃</w:t>
            </w: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b/>
                <w:bCs/>
                <w:snapToGrid w:val="0"/>
                <w:color w:val="000000"/>
                <w:kern w:val="21"/>
                <w:sz w:val="24"/>
                <w:szCs w:val="24"/>
                <w:highlight w:val="none"/>
                <w:lang w:eastAsia="en-US"/>
              </w:rPr>
            </w:pPr>
            <w:r>
              <w:rPr>
                <w:rFonts w:hint="eastAsia" w:ascii="方正仿宋_GBK" w:hAnsi="方正仿宋_GBK" w:eastAsia="方正仿宋_GBK" w:cs="方正仿宋_GBK"/>
                <w:b/>
                <w:bCs/>
                <w:snapToGrid w:val="0"/>
                <w:color w:val="000000"/>
                <w:kern w:val="21"/>
                <w:sz w:val="24"/>
                <w:szCs w:val="24"/>
                <w:highlight w:val="none"/>
                <w:lang w:eastAsia="en-US"/>
              </w:rPr>
              <w:t>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焦炉烟囱</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8</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30</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150</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100</w:t>
            </w: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position w:val="0"/>
                <w:sz w:val="24"/>
                <w:szCs w:val="24"/>
                <w:highlight w:val="none"/>
                <w:lang w:val="en-US" w:eastAsia="en-US" w:bidi="ar-SA"/>
              </w:rPr>
              <w:t>8</w:t>
            </w:r>
            <w:r>
              <w:rPr>
                <w:rFonts w:hint="eastAsia" w:ascii="方正仿宋_GBK" w:hAnsi="方正仿宋_GBK" w:eastAsia="方正仿宋_GBK" w:cs="方正仿宋_GBK"/>
                <w:snapToGrid w:val="0"/>
                <w:color w:val="000000"/>
                <w:kern w:val="21"/>
                <w:position w:val="0"/>
                <w:sz w:val="24"/>
                <w:szCs w:val="24"/>
                <w:highlight w:val="none"/>
                <w:vertAlign w:val="superscript"/>
                <w:lang w:val="en-US" w:eastAsia="en-US" w:bidi="ar-SA"/>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出（推）焦</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30</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装煤和机侧炉口</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70</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干法熄焦</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50</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燃用煤气的加热炉</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8</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30</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150</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生产废水处理设施（含储存、调节、气浮、隔油等预处理设施以及厌氧池、预曝气池）</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100</w:t>
            </w: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spacing w:val="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VOCs燃烧</w:t>
            </w:r>
          </w:p>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（焚烧、氧化）</w:t>
            </w:r>
            <w:r>
              <w:rPr>
                <w:rFonts w:hint="eastAsia" w:ascii="方正仿宋_GBK" w:hAnsi="方正仿宋_GBK" w:eastAsia="方正仿宋_GBK" w:cs="方正仿宋_GBK"/>
                <w:snapToGrid w:val="0"/>
                <w:color w:val="000000"/>
                <w:spacing w:val="0"/>
                <w:kern w:val="21"/>
                <w:position w:val="0"/>
                <w:sz w:val="24"/>
                <w:szCs w:val="24"/>
                <w:highlight w:val="none"/>
                <w:lang w:val="en-US" w:eastAsia="en-US" w:bidi="ar-SA"/>
              </w:rPr>
              <w:t>装置</w:t>
            </w:r>
            <w:r>
              <w:rPr>
                <w:rFonts w:hint="eastAsia" w:ascii="方正仿宋_GBK" w:hAnsi="方正仿宋_GBK" w:eastAsia="方正仿宋_GBK" w:cs="方正仿宋_GBK"/>
                <w:snapToGrid w:val="0"/>
                <w:color w:val="000000"/>
                <w:kern w:val="21"/>
                <w:position w:val="0"/>
                <w:sz w:val="24"/>
                <w:szCs w:val="24"/>
                <w:highlight w:val="none"/>
                <w:vertAlign w:val="superscript"/>
                <w:lang w:val="en-US" w:eastAsia="en-US" w:bidi="ar-SA"/>
              </w:rPr>
              <w:t>b</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position w:val="0"/>
                <w:sz w:val="24"/>
                <w:szCs w:val="24"/>
                <w:highlight w:val="none"/>
                <w:lang w:val="en-US" w:eastAsia="en-US" w:bidi="ar-SA"/>
              </w:rPr>
              <w:t>3</w:t>
            </w:r>
            <w:r>
              <w:rPr>
                <w:rFonts w:hint="eastAsia" w:ascii="方正仿宋_GBK" w:hAnsi="方正仿宋_GBK" w:eastAsia="方正仿宋_GBK" w:cs="方正仿宋_GBK"/>
                <w:snapToGrid w:val="0"/>
                <w:color w:val="000000"/>
                <w:kern w:val="21"/>
                <w:position w:val="0"/>
                <w:sz w:val="24"/>
                <w:szCs w:val="24"/>
                <w:highlight w:val="none"/>
                <w:vertAlign w:val="superscript"/>
                <w:lang w:val="en-US" w:eastAsia="en-US" w:bidi="ar-SA"/>
              </w:rPr>
              <w:t>c</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200</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200</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50</w:t>
            </w: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燃气锅炉</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3</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5</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35</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50</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燃煤锅炉</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6</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35</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50</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20" w:type="pct"/>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燃气轮机组</w:t>
            </w:r>
          </w:p>
        </w:tc>
        <w:tc>
          <w:tcPr>
            <w:tcW w:w="698"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15</w:t>
            </w:r>
          </w:p>
        </w:tc>
        <w:tc>
          <w:tcPr>
            <w:tcW w:w="43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5</w:t>
            </w:r>
          </w:p>
        </w:tc>
        <w:tc>
          <w:tcPr>
            <w:tcW w:w="545"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35</w:t>
            </w:r>
          </w:p>
        </w:tc>
        <w:tc>
          <w:tcPr>
            <w:tcW w:w="731"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50</w:t>
            </w:r>
          </w:p>
        </w:tc>
        <w:tc>
          <w:tcPr>
            <w:tcW w:w="53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20" w:type="pct"/>
            <w:tcBorders>
              <w:left w:val="single" w:color="000000" w:sz="6" w:space="0"/>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燃油锅炉</w:t>
            </w:r>
          </w:p>
        </w:tc>
        <w:tc>
          <w:tcPr>
            <w:tcW w:w="698" w:type="pct"/>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kern w:val="21"/>
                <w:sz w:val="24"/>
                <w:szCs w:val="24"/>
                <w:highlight w:val="none"/>
                <w:lang w:val="en-US" w:eastAsia="en-US" w:bidi="ar-SA"/>
              </w:rPr>
              <w:t>3</w:t>
            </w:r>
          </w:p>
        </w:tc>
        <w:tc>
          <w:tcPr>
            <w:tcW w:w="439" w:type="pct"/>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10</w:t>
            </w:r>
          </w:p>
        </w:tc>
        <w:tc>
          <w:tcPr>
            <w:tcW w:w="545" w:type="pct"/>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35</w:t>
            </w:r>
          </w:p>
        </w:tc>
        <w:tc>
          <w:tcPr>
            <w:tcW w:w="731" w:type="pct"/>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val="en-US" w:eastAsia="en-US" w:bidi="ar-SA"/>
              </w:rPr>
            </w:pPr>
            <w:r>
              <w:rPr>
                <w:rFonts w:hint="eastAsia" w:ascii="方正仿宋_GBK" w:hAnsi="方正仿宋_GBK" w:eastAsia="方正仿宋_GBK" w:cs="方正仿宋_GBK"/>
                <w:snapToGrid w:val="0"/>
                <w:color w:val="000000"/>
                <w:spacing w:val="0"/>
                <w:kern w:val="21"/>
                <w:sz w:val="24"/>
                <w:szCs w:val="24"/>
                <w:highlight w:val="none"/>
                <w:lang w:val="en-US" w:eastAsia="en-US" w:bidi="ar-SA"/>
              </w:rPr>
              <w:t>50</w:t>
            </w:r>
          </w:p>
        </w:tc>
        <w:tc>
          <w:tcPr>
            <w:tcW w:w="533" w:type="pct"/>
            <w:tcBorders>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c>
          <w:tcPr>
            <w:tcW w:w="331" w:type="pct"/>
            <w:tcBorders>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baseline"/>
              <w:rPr>
                <w:rFonts w:hint="eastAsia" w:ascii="方正仿宋_GBK" w:hAnsi="方正仿宋_GBK" w:eastAsia="方正仿宋_GBK" w:cs="方正仿宋_GBK"/>
                <w:snapToGrid w:val="0"/>
                <w:color w:val="000000"/>
                <w:kern w:val="21"/>
                <w:sz w:val="24"/>
                <w:szCs w:val="24"/>
                <w:highlight w:val="none"/>
                <w:lang w:eastAsia="en-US"/>
              </w:rPr>
            </w:pPr>
          </w:p>
        </w:tc>
      </w:tr>
    </w:tbl>
    <w:p>
      <w:pPr>
        <w:keepNext w:val="0"/>
        <w:keepLines w:val="0"/>
        <w:pageBreakBefore w:val="0"/>
        <w:kinsoku/>
        <w:wordWrap/>
        <w:overflowPunct/>
        <w:topLinePunct w:val="0"/>
        <w:autoSpaceDE/>
        <w:autoSpaceDN/>
        <w:bidi w:val="0"/>
        <w:adjustRightInd w:val="0"/>
        <w:snapToGrid w:val="0"/>
        <w:spacing w:line="360" w:lineRule="exact"/>
        <w:ind w:firstLine="494" w:firstLineChars="200"/>
        <w:textAlignment w:val="auto"/>
        <w:rPr>
          <w:rFonts w:hint="eastAsia" w:ascii="方正仿宋_GBK" w:hAnsi="方正仿宋_GBK" w:eastAsia="方正仿宋_GBK" w:cs="方正仿宋_GBK"/>
          <w:spacing w:val="0"/>
          <w:kern w:val="21"/>
          <w:position w:val="0"/>
          <w:sz w:val="24"/>
          <w:szCs w:val="24"/>
          <w:highlight w:val="none"/>
          <w:lang w:eastAsia="en-US"/>
        </w:rPr>
      </w:pPr>
      <w:r>
        <w:rPr>
          <w:rFonts w:hint="eastAsia" w:ascii="方正仿宋_GBK" w:hAnsi="方正仿宋_GBK" w:eastAsia="方正仿宋_GBK" w:cs="方正仿宋_GBK"/>
          <w:spacing w:val="0"/>
          <w:kern w:val="21"/>
          <w:position w:val="0"/>
          <w:sz w:val="24"/>
          <w:szCs w:val="24"/>
          <w:highlight w:val="none"/>
          <w:lang w:eastAsia="en-US"/>
        </w:rPr>
        <w:t>注：1.表中未作规定的生产设施污染物排放限值按国家、地方排放标准或其他相关规定执行。</w:t>
      </w:r>
    </w:p>
    <w:p>
      <w:pPr>
        <w:keepNext w:val="0"/>
        <w:keepLines w:val="0"/>
        <w:pageBreakBefore w:val="0"/>
        <w:kinsoku/>
        <w:wordWrap/>
        <w:overflowPunct/>
        <w:topLinePunct w:val="0"/>
        <w:autoSpaceDE/>
        <w:autoSpaceDN/>
        <w:bidi w:val="0"/>
        <w:adjustRightInd w:val="0"/>
        <w:snapToGrid w:val="0"/>
        <w:spacing w:line="360" w:lineRule="exact"/>
        <w:ind w:firstLine="494" w:firstLineChars="200"/>
        <w:textAlignment w:val="auto"/>
        <w:rPr>
          <w:rFonts w:hint="eastAsia" w:ascii="方正仿宋_GBK" w:hAnsi="方正仿宋_GBK" w:eastAsia="方正仿宋_GBK" w:cs="方正仿宋_GBK"/>
          <w:spacing w:val="0"/>
          <w:kern w:val="21"/>
          <w:position w:val="0"/>
          <w:sz w:val="24"/>
          <w:szCs w:val="24"/>
          <w:highlight w:val="none"/>
          <w:lang w:eastAsia="en-US"/>
        </w:rPr>
      </w:pPr>
      <w:r>
        <w:rPr>
          <w:rFonts w:hint="eastAsia" w:ascii="方正仿宋_GBK" w:hAnsi="方正仿宋_GBK" w:eastAsia="方正仿宋_GBK" w:cs="方正仿宋_GBK"/>
          <w:spacing w:val="0"/>
          <w:kern w:val="21"/>
          <w:position w:val="0"/>
          <w:sz w:val="24"/>
          <w:szCs w:val="24"/>
          <w:highlight w:val="none"/>
          <w:lang w:eastAsia="en-US"/>
        </w:rPr>
        <w:t>2.VOCs处理设施的处理效率不应低于80%。</w:t>
      </w:r>
    </w:p>
    <w:p>
      <w:pPr>
        <w:keepNext w:val="0"/>
        <w:keepLines w:val="0"/>
        <w:pageBreakBefore w:val="0"/>
        <w:kinsoku/>
        <w:wordWrap/>
        <w:overflowPunct/>
        <w:topLinePunct w:val="0"/>
        <w:autoSpaceDE/>
        <w:autoSpaceDN/>
        <w:bidi w:val="0"/>
        <w:adjustRightInd w:val="0"/>
        <w:snapToGrid w:val="0"/>
        <w:spacing w:line="360" w:lineRule="exact"/>
        <w:ind w:firstLine="494" w:firstLineChars="200"/>
        <w:textAlignment w:val="auto"/>
        <w:rPr>
          <w:rFonts w:hint="eastAsia" w:ascii="方正仿宋_GBK" w:hAnsi="方正仿宋_GBK" w:eastAsia="方正仿宋_GBK" w:cs="方正仿宋_GBK"/>
          <w:spacing w:val="0"/>
          <w:kern w:val="21"/>
          <w:position w:val="0"/>
          <w:sz w:val="24"/>
          <w:szCs w:val="24"/>
          <w:highlight w:val="none"/>
          <w:lang w:eastAsia="en-US"/>
        </w:rPr>
      </w:pPr>
      <w:r>
        <w:rPr>
          <w:rFonts w:hint="eastAsia" w:ascii="方正仿宋_GBK" w:hAnsi="方正仿宋_GBK" w:eastAsia="方正仿宋_GBK" w:cs="方正仿宋_GBK"/>
          <w:spacing w:val="0"/>
          <w:kern w:val="21"/>
          <w:position w:val="0"/>
          <w:sz w:val="24"/>
          <w:szCs w:val="24"/>
          <w:highlight w:val="none"/>
          <w:vertAlign w:val="superscript"/>
          <w:lang w:eastAsia="en-US"/>
        </w:rPr>
        <w:t>a</w:t>
      </w:r>
      <w:r>
        <w:rPr>
          <w:rFonts w:hint="eastAsia" w:ascii="方正仿宋_GBK" w:hAnsi="方正仿宋_GBK" w:eastAsia="方正仿宋_GBK" w:cs="方正仿宋_GBK"/>
          <w:spacing w:val="0"/>
          <w:kern w:val="21"/>
          <w:position w:val="0"/>
          <w:sz w:val="24"/>
          <w:szCs w:val="24"/>
          <w:highlight w:val="none"/>
          <w:lang w:eastAsia="en-US"/>
        </w:rPr>
        <w:t>适用于采用氨法脱硫、脱硝的设施，以及活性焦工艺再生尾气排放。</w:t>
      </w:r>
    </w:p>
    <w:p>
      <w:pPr>
        <w:keepNext w:val="0"/>
        <w:keepLines w:val="0"/>
        <w:pageBreakBefore w:val="0"/>
        <w:kinsoku/>
        <w:wordWrap/>
        <w:overflowPunct/>
        <w:topLinePunct w:val="0"/>
        <w:autoSpaceDE/>
        <w:autoSpaceDN/>
        <w:bidi w:val="0"/>
        <w:adjustRightInd w:val="0"/>
        <w:snapToGrid w:val="0"/>
        <w:spacing w:line="360" w:lineRule="exact"/>
        <w:ind w:firstLine="494" w:firstLineChars="200"/>
        <w:textAlignment w:val="auto"/>
        <w:rPr>
          <w:rFonts w:hint="eastAsia" w:ascii="方正仿宋_GBK" w:hAnsi="方正仿宋_GBK" w:eastAsia="方正仿宋_GBK" w:cs="方正仿宋_GBK"/>
          <w:spacing w:val="0"/>
          <w:kern w:val="21"/>
          <w:position w:val="0"/>
          <w:sz w:val="24"/>
          <w:szCs w:val="24"/>
          <w:highlight w:val="none"/>
          <w:lang w:eastAsia="en-US"/>
        </w:rPr>
      </w:pPr>
      <w:r>
        <w:rPr>
          <w:rFonts w:hint="eastAsia" w:ascii="方正仿宋_GBK" w:hAnsi="方正仿宋_GBK" w:eastAsia="方正仿宋_GBK" w:cs="方正仿宋_GBK"/>
          <w:spacing w:val="0"/>
          <w:kern w:val="21"/>
          <w:position w:val="0"/>
          <w:sz w:val="24"/>
          <w:szCs w:val="24"/>
          <w:highlight w:val="none"/>
          <w:vertAlign w:val="superscript"/>
          <w:lang w:eastAsia="en-US"/>
        </w:rPr>
        <w:t>b</w:t>
      </w:r>
      <w:r>
        <w:rPr>
          <w:rFonts w:hint="eastAsia" w:ascii="方正仿宋_GBK" w:hAnsi="方正仿宋_GBK" w:eastAsia="方正仿宋_GBK" w:cs="方正仿宋_GBK"/>
          <w:spacing w:val="0"/>
          <w:kern w:val="21"/>
          <w:position w:val="0"/>
          <w:sz w:val="24"/>
          <w:szCs w:val="24"/>
          <w:highlight w:val="none"/>
          <w:lang w:eastAsia="en-US"/>
        </w:rPr>
        <w:t>利用焦炉焚烧处理有机废气的，执行表中焦炉烟囱控制要求。利用锅炉、工业炉窑（焦炉除外）或固体废物焚烧炉焚烧处理有机废气的，还应满足锅炉、工业炉窑（焦炉除外）或固体废物焚烧炉的控制要求。</w:t>
      </w:r>
    </w:p>
    <w:p>
      <w:pPr>
        <w:keepNext w:val="0"/>
        <w:keepLines w:val="0"/>
        <w:pageBreakBefore w:val="0"/>
        <w:kinsoku/>
        <w:wordWrap/>
        <w:overflowPunct/>
        <w:topLinePunct w:val="0"/>
        <w:autoSpaceDE/>
        <w:autoSpaceDN/>
        <w:bidi w:val="0"/>
        <w:adjustRightInd w:val="0"/>
        <w:snapToGrid w:val="0"/>
        <w:spacing w:line="360" w:lineRule="exact"/>
        <w:ind w:firstLine="494" w:firstLineChars="200"/>
        <w:textAlignment w:val="auto"/>
        <w:rPr>
          <w:rFonts w:hint="eastAsia" w:ascii="方正仿宋_GBK" w:hAnsi="方正仿宋_GBK" w:eastAsia="方正仿宋_GBK" w:cs="方正仿宋_GBK"/>
          <w:spacing w:val="0"/>
          <w:kern w:val="21"/>
          <w:position w:val="0"/>
          <w:sz w:val="24"/>
          <w:szCs w:val="24"/>
          <w:highlight w:val="none"/>
          <w:lang w:eastAsia="en-US"/>
        </w:rPr>
      </w:pPr>
      <w:r>
        <w:rPr>
          <w:rFonts w:hint="eastAsia" w:ascii="方正仿宋_GBK" w:hAnsi="方正仿宋_GBK" w:eastAsia="方正仿宋_GBK" w:cs="方正仿宋_GBK"/>
          <w:spacing w:val="0"/>
          <w:kern w:val="21"/>
          <w:position w:val="0"/>
          <w:sz w:val="24"/>
          <w:szCs w:val="24"/>
          <w:highlight w:val="none"/>
          <w:vertAlign w:val="superscript"/>
          <w:lang w:eastAsia="en-US"/>
        </w:rPr>
        <w:t>c</w:t>
      </w:r>
      <w:r>
        <w:rPr>
          <w:rFonts w:hint="eastAsia" w:ascii="方正仿宋_GBK" w:hAnsi="方正仿宋_GBK" w:eastAsia="方正仿宋_GBK" w:cs="方正仿宋_GBK"/>
          <w:spacing w:val="0"/>
          <w:kern w:val="21"/>
          <w:position w:val="0"/>
          <w:sz w:val="24"/>
          <w:szCs w:val="24"/>
          <w:highlight w:val="none"/>
          <w:lang w:eastAsia="en-US"/>
        </w:rPr>
        <w:t>进入VOCs燃烧（焚烧、氧化）装置处理有机废气需要补充空气进行燃烧、氧化反应的，排气筒中实测大气污染物排放浓度按基准含氧量3%折算为大气污染物基准排放浓度。进入VOCs燃烧（焚烧、氧化）装置中废气含氧量可满足自身燃烧、氧化反应需要，不需另外补充空气的，或仅燃烧器需要补充空气助燃的，以实测质量浓度作为达标判定依据，但装置出口烟气含氧量不得高于装置进口废气含氧量。</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t>附件3</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299" w:beforeLines="50" w:beforeAutospacing="0" w:after="180" w:afterLines="30" w:afterAutospacing="0" w:line="600" w:lineRule="exact"/>
        <w:ind w:right="0" w:firstLine="0" w:firstLineChars="0"/>
        <w:jc w:val="cente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pPr>
      <w: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t>无组织排放控制措施</w:t>
      </w: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r>
        <w:rPr>
          <w:rFonts w:hint="eastAsia" w:ascii="方正仿宋_GBK" w:hAnsi="方正仿宋_GBK" w:eastAsia="方正仿宋_GBK" w:cs="方正仿宋_GBK"/>
          <w:b/>
          <w:bCs w:val="0"/>
          <w:color w:val="auto"/>
          <w:kern w:val="21"/>
          <w:sz w:val="32"/>
          <w:szCs w:val="32"/>
          <w:highlight w:val="none"/>
          <w:lang w:val="en-US" w:eastAsia="zh-CN"/>
        </w:rPr>
        <w:t>表1  水泥行业无组织排放控制措施</w:t>
      </w:r>
    </w:p>
    <w:tbl>
      <w:tblPr>
        <w:tblStyle w:val="13"/>
        <w:tblW w:w="96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0"/>
        <w:gridCol w:w="7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1850" w:type="dxa"/>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主要环节</w:t>
            </w:r>
          </w:p>
        </w:tc>
        <w:tc>
          <w:tcPr>
            <w:tcW w:w="7824" w:type="dxa"/>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控制措施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jc w:val="center"/>
        </w:trPr>
        <w:tc>
          <w:tcPr>
            <w:tcW w:w="1850"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物料储存</w:t>
            </w:r>
          </w:p>
        </w:tc>
        <w:tc>
          <w:tcPr>
            <w:tcW w:w="7824"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石灰石、页岩、泥岩、煤矸石、原煤等原燃料在封闭料棚内存放。熟料封闭储存。</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生料、干粉煤灰、矿渣微粉、成品水泥等粉状物料采用密闭料仓、储罐等方式密闭储存。</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协同处置固体废物的，贮存设施采用封闭措施，有生活垃圾或污泥存放时处于负压状态；贮存设施内抽取的空气导入水泥窑高温区焚烧处理，或通过其他措施处理达标后排放。</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料棚（不含熟料、原煤）产尘点安装抑尘设施，车辆行驶区域及出入口地面硬化并安装自动门。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jc w:val="center"/>
        </w:trPr>
        <w:tc>
          <w:tcPr>
            <w:tcW w:w="1850"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物料输送</w:t>
            </w:r>
          </w:p>
        </w:tc>
        <w:tc>
          <w:tcPr>
            <w:tcW w:w="7824"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散状原燃料及产品卸车、上料、配料、输送密闭或封闭作业。</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运输皮带采用皮带通廊等方式封闭，各转载、下料口等产尘点正常生产时保证无可见烟粉尘外逸与撒料。</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库顶配备袋式除尘器。</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除尘灰采用负压、罐车等密闭方式运输。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jc w:val="center"/>
        </w:trPr>
        <w:tc>
          <w:tcPr>
            <w:tcW w:w="1850"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生产工艺</w:t>
            </w:r>
          </w:p>
        </w:tc>
        <w:tc>
          <w:tcPr>
            <w:tcW w:w="7824"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石灰石、煤、混合材等物料厂内破碎时，在破碎机进料口设置集气罩或封闭，出料口采用密闭装置，并配备除尘设施。</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磨前喂料装置、烘干机与集气罩的连接处密闭。</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窑系统保持微负压，定期检查。</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熟料冷却机卸料口设置集气罩，配备除尘设施。</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氨水或液氨采用专用罐车运输，配套氨气回收或吸收回用装置。氨水罐区及易泄漏点位设置氨气泄漏检测措施。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jc w:val="center"/>
        </w:trPr>
        <w:tc>
          <w:tcPr>
            <w:tcW w:w="1850" w:type="dxa"/>
            <w:tcBorders>
              <w:left w:val="single" w:color="000000" w:sz="6"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其他</w:t>
            </w:r>
          </w:p>
        </w:tc>
        <w:tc>
          <w:tcPr>
            <w:tcW w:w="7824" w:type="dxa"/>
            <w:tcBorders>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厂区道路全部硬化，及时清扫、定期洒水。</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企业厂区出口或汽车运输料场出口处（料场口与厂区出口距离在100米以内的可合并安装1处洗车台）配备高压清洗装置，对所有货物运输车辆的车轮、底盘进行冲洗。</w:t>
            </w:r>
          </w:p>
        </w:tc>
      </w:tr>
    </w:tbl>
    <w:p>
      <w:pPr>
        <w:keepNext w:val="0"/>
        <w:keepLines w:val="0"/>
        <w:pageBreakBefore w:val="0"/>
        <w:widowControl w:val="0"/>
        <w:kinsoku/>
        <w:wordWrap/>
        <w:overflowPunct/>
        <w:topLinePunct w:val="0"/>
        <w:autoSpaceDE/>
        <w:autoSpaceDN/>
        <w:bidi w:val="0"/>
        <w:adjustRightInd w:val="0"/>
        <w:snapToGrid w:val="0"/>
        <w:spacing w:line="300" w:lineRule="exact"/>
        <w:ind w:left="0" w:right="0" w:rightChars="0" w:firstLine="494" w:firstLineChars="200"/>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封闭：利用完整的围护结构将物料、作业场所等与周围空间阻隔的状态或作业方式。在保证安全前提下可以封闭的区域或建筑物，该封闭区域或封闭建筑物除人员、车辆、设备、物料进出时，以及依法设立的排气筒、通风口外，门窗及其他开口（孔）部位保持关闭状态。</w:t>
      </w:r>
    </w:p>
    <w:p>
      <w:pPr>
        <w:keepNext w:val="0"/>
        <w:keepLines w:val="0"/>
        <w:pageBreakBefore w:val="0"/>
        <w:widowControl w:val="0"/>
        <w:kinsoku/>
        <w:wordWrap/>
        <w:overflowPunct/>
        <w:topLinePunct w:val="0"/>
        <w:autoSpaceDE/>
        <w:autoSpaceDN/>
        <w:bidi w:val="0"/>
        <w:adjustRightInd w:val="0"/>
        <w:snapToGrid w:val="0"/>
        <w:spacing w:line="300" w:lineRule="exact"/>
        <w:ind w:left="0" w:right="0" w:rightChars="0" w:firstLine="494" w:firstLineChars="200"/>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密闭：污染物质不与环境空气接触，或通过密封材料、密封设备与环境空气隔离的状态或作业方式。</w:t>
      </w: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r>
        <w:rPr>
          <w:rFonts w:hint="eastAsia" w:ascii="方正仿宋_GBK" w:hAnsi="方正仿宋_GBK" w:eastAsia="方正仿宋_GBK" w:cs="方正仿宋_GBK"/>
          <w:b/>
          <w:bCs w:val="0"/>
          <w:color w:val="auto"/>
          <w:kern w:val="21"/>
          <w:sz w:val="32"/>
          <w:szCs w:val="32"/>
          <w:highlight w:val="none"/>
          <w:lang w:val="en-US" w:eastAsia="zh-CN"/>
        </w:rPr>
        <w:t>表2  焦化行业无组织排放控制措施</w:t>
      </w:r>
    </w:p>
    <w:tbl>
      <w:tblPr>
        <w:tblStyle w:val="13"/>
        <w:tblW w:w="10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4"/>
        <w:gridCol w:w="815"/>
        <w:gridCol w:w="210"/>
        <w:gridCol w:w="2603"/>
        <w:gridCol w:w="5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614" w:type="dxa"/>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环节</w:t>
            </w:r>
          </w:p>
        </w:tc>
        <w:tc>
          <w:tcPr>
            <w:tcW w:w="3628" w:type="dxa"/>
            <w:gridSpan w:val="3"/>
            <w:tcBorders>
              <w:top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点位</w:t>
            </w:r>
          </w:p>
        </w:tc>
        <w:tc>
          <w:tcPr>
            <w:tcW w:w="5936" w:type="dxa"/>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控制措施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61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物料</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储存</w:t>
            </w: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石灰、除尘灰、脱硫灰等粉状物料</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采用料仓、储罐等方式密闭储存。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煤炭、焦炭、针状焦、沥青、石墨等块状或粘湿物料</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采用密闭料仓或封闭料场（仓、库、棚）等方式储存，其中封闭料场内设喷雾抑尘装置。鼓励采用封闭式机械化料场、筒仓等物料储存方式。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61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有机液体、有机固废及其他VOCs物料</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焦油、粗苯、甲醇、酚油、蒽油、炭黑油、轻油、洗油等有机液体，焦油渣、酸焦油、粗苯残渣、洗油残渣、沥青渣等有机固废，及其他VOCs物料密闭储存，并将废气接入压力平衡系统或燃烧处理。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61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物料输送</w:t>
            </w: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石灰、除尘灰、脱硫灰等粉状物料</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采用气力输送设备、罐车及其他方式密闭输送。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煤炭、焦炭、针状焦、沥青、石墨等块状或粘湿物料</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采用管状带式输送机、皮带通廊等方式输送；确需汽车运输的，使用封闭车厢或苫盖严密，装卸车时采取除尘或抑尘措施。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有机液体、有机固废及其他VOCs物料</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焦油、粗苯、甲醇、酚油、蒽油、炭黑油、轻油、洗油等有机液体，焦油渣、酸焦油、粗苯残渣、洗油残渣、沥青渣等有机固废，及其他VOCs物料，转移和输送采取密闭措施。粗苯、甲醇、酚油、轻油等挥发性有机液体装载时，采用底部装载或顶部浸没式；若采用顶部浸没式，出料管口距离槽（罐）底部高度小于200mm；废气接入压力平衡系统或燃烧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液氨及氨水</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卸载、输送、制备、储存密闭，并采取氨气泄漏检测措施。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料场出口</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设置高压清洗装置，确保能够覆盖车轮和车身。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61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厂区及周边道路</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道路硬化，并采取清扫、洒水等措施，保持清洁。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61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生产工艺过程</w:t>
            </w: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破碎、筛分、转运</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设置收尘罩，配备除尘设施或高效抑尘措施。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1025" w:type="dxa"/>
            <w:gridSpan w:val="2"/>
            <w:vMerge w:val="restart"/>
            <w:tcBorders>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装煤/推（出）焦</w:t>
            </w:r>
          </w:p>
        </w:tc>
        <w:tc>
          <w:tcPr>
            <w:tcW w:w="2603"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常规焦炉</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装煤除尘采用导烟除尘技术或单炭化室压力调节或地面站除尘技术，推焦采用地面站除尘技术，机侧炉口设置废气收集处理装置。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1025" w:type="dxa"/>
            <w:gridSpan w:val="2"/>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2603"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热回收焦炉</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装煤、推焦、机侧炉门除尘采用地面站除尘或车载除尘技术。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vMerge w:val="continue"/>
            <w:tcBorders>
              <w:top w:val="nil"/>
              <w:left w:val="single" w:color="000000" w:sz="6" w:space="0"/>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1025" w:type="dxa"/>
            <w:gridSpan w:val="2"/>
            <w:vMerge w:val="continue"/>
            <w:tcBorders>
              <w:top w:val="nil"/>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2603" w:type="dxa"/>
            <w:tcBorders>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半焦（兰炭）炭化炉</w:t>
            </w:r>
          </w:p>
        </w:tc>
        <w:tc>
          <w:tcPr>
            <w:tcW w:w="5936" w:type="dxa"/>
            <w:tcBorders>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340" w:lineRule="exact"/>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采用双室双闸给料器，炉顶装煤口采取封闭措施，安装除尘、废气收集等设备，有效控制粉尘和煤气外逸；出焦应对输送设施封闭和废气收集处理。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614" w:type="dxa"/>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环节</w:t>
            </w:r>
          </w:p>
        </w:tc>
        <w:tc>
          <w:tcPr>
            <w:tcW w:w="3628" w:type="dxa"/>
            <w:gridSpan w:val="3"/>
            <w:tcBorders>
              <w:top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点位</w:t>
            </w:r>
          </w:p>
        </w:tc>
        <w:tc>
          <w:tcPr>
            <w:tcW w:w="5936" w:type="dxa"/>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控制措施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61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生产工艺过程</w:t>
            </w: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焦炉炉体</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焦炉炉门、装煤孔盖、上升管盖、上升管根部、桥管与阀体承插等采取密封技术；焦炉安装荒煤气自动点火放散装置。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5" w:type="dxa"/>
            <w:vMerge w:val="restart"/>
            <w:tcBorders>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熄焦</w:t>
            </w:r>
          </w:p>
        </w:tc>
        <w:tc>
          <w:tcPr>
            <w:tcW w:w="2813" w:type="dxa"/>
            <w:gridSpan w:val="2"/>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常规焦炉</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钢焦联合企业采用干法熄焦，鼓励独立焦化企业采用干法熄焦工艺。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2813" w:type="dxa"/>
            <w:gridSpan w:val="2"/>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热回收焦炉</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采用干法熄焦或节水型熄焦工艺（吨焦耗水量不大于0.4吨），熄焦塔采用双层折流板等高效抑尘装置。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2813" w:type="dxa"/>
            <w:gridSpan w:val="2"/>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半焦（兰炭）炭化炉</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采用蒸汽、干法等节水节能型熄焦方式，鼓励余热回收。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脱硫再生、硫铵结晶、硫磺（膏）生产、脱硫废液提盐、化学产品深加工等设施/车间</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废气采用高效（组合）工艺处理，鼓励作为助燃风引入燃烧装置。鼓励焦油渣通过离心干化等方式减量处理后直接进入配煤等其他环节。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jc w:val="center"/>
        </w:trPr>
        <w:tc>
          <w:tcPr>
            <w:tcW w:w="61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煤气净化、化学产品深加工等区域</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安装煤气点火放散装置，放散煤气及时点燃并充分燃烧。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61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敞开液面</w:t>
            </w: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生产废水集输系统</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采用密闭管道输送或加盖沟渠输送，接入口和排出口采取与环境空气隔离的措施。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生产废水处理设施</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储存、调节、气浮、隔油等预处理设施以及厌氧池、预曝气池加盖并配备废气收集处理设施，采用高效（组合）工艺处理，鼓励引入燃烧装置。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3628" w:type="dxa"/>
            <w:gridSpan w:val="3"/>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循环冷却水系统</w:t>
            </w:r>
          </w:p>
        </w:tc>
        <w:tc>
          <w:tcPr>
            <w:tcW w:w="593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煤气净化和化学产品回收过程的开式循环冷却水系统，VOCs无组织排放控制要求符合《挥发性有机物无组织排放控制标准》（GB37822-2019）的规定。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4" w:type="dxa"/>
            <w:tcBorders>
              <w:left w:val="single" w:color="000000" w:sz="6"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设备与管线组件密封点</w:t>
            </w:r>
          </w:p>
        </w:tc>
        <w:tc>
          <w:tcPr>
            <w:tcW w:w="3628" w:type="dxa"/>
            <w:gridSpan w:val="3"/>
            <w:tcBorders>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w:t>
            </w:r>
          </w:p>
        </w:tc>
        <w:tc>
          <w:tcPr>
            <w:tcW w:w="5936" w:type="dxa"/>
            <w:tcBorders>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按照《挥发性有机物无组织排放控制标准》（GB37822-2019）规定开展泄漏检测与修复（LDAR）工作。</w:t>
            </w:r>
          </w:p>
        </w:tc>
      </w:tr>
    </w:tbl>
    <w:p>
      <w:pPr>
        <w:keepNext w:val="0"/>
        <w:keepLines w:val="0"/>
        <w:pageBreakBefore w:val="0"/>
        <w:widowControl w:val="0"/>
        <w:kinsoku/>
        <w:wordWrap/>
        <w:overflowPunct/>
        <w:topLinePunct w:val="0"/>
        <w:autoSpaceDE/>
        <w:autoSpaceDN/>
        <w:bidi w:val="0"/>
        <w:adjustRightInd w:val="0"/>
        <w:snapToGrid w:val="0"/>
        <w:spacing w:line="320" w:lineRule="exact"/>
        <w:ind w:left="0" w:right="0" w:rightChars="0" w:firstLine="494" w:firstLineChars="200"/>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注：表中未作规定的生产设施污染物排放控制按国家、地方排放标准或其他相关规定执行。</w:t>
      </w:r>
    </w:p>
    <w:p>
      <w:pPr>
        <w:keepNext w:val="0"/>
        <w:keepLines w:val="0"/>
        <w:pageBreakBefore w:val="0"/>
        <w:widowControl w:val="0"/>
        <w:kinsoku/>
        <w:wordWrap/>
        <w:overflowPunct/>
        <w:topLinePunct w:val="0"/>
        <w:autoSpaceDE/>
        <w:autoSpaceDN/>
        <w:bidi w:val="0"/>
        <w:adjustRightInd w:val="0"/>
        <w:snapToGrid w:val="0"/>
        <w:spacing w:line="320" w:lineRule="exact"/>
        <w:ind w:left="0" w:right="0" w:rightChars="0" w:firstLine="494" w:firstLineChars="200"/>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封闭：利用完整的围护结构将物料、作业场所等与周围空间阻隔的状态或作业方式。在保证安全前提下可以封闭的区域或建筑物，该封闭区域或封闭建筑物除人员、车辆、设备、物料进出时，以及依法设立的排气筒、通风口外，门窗及其他开口（孔）部位保持关闭状态。</w:t>
      </w:r>
    </w:p>
    <w:p>
      <w:pPr>
        <w:keepNext w:val="0"/>
        <w:keepLines w:val="0"/>
        <w:pageBreakBefore w:val="0"/>
        <w:widowControl w:val="0"/>
        <w:kinsoku/>
        <w:wordWrap/>
        <w:overflowPunct/>
        <w:topLinePunct w:val="0"/>
        <w:autoSpaceDE/>
        <w:autoSpaceDN/>
        <w:bidi w:val="0"/>
        <w:adjustRightInd w:val="0"/>
        <w:snapToGrid w:val="0"/>
        <w:spacing w:line="320" w:lineRule="exact"/>
        <w:ind w:left="0" w:right="0" w:rightChars="0" w:firstLine="494" w:firstLineChars="200"/>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密闭：污染物质不与环境空气接触，或通过密封材料、密封设备与环境空气隔离的状态或作业方式。</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br w:type="page"/>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t>附件4</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219" w:beforeLines="70" w:beforeAutospacing="0" w:after="157" w:afterLines="50" w:afterAutospacing="0" w:line="600" w:lineRule="exact"/>
        <w:ind w:right="0" w:firstLine="0" w:firstLineChars="0"/>
        <w:jc w:val="cente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pPr>
      <w: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t>监测监控安装点位</w:t>
      </w: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r>
        <w:rPr>
          <w:rFonts w:hint="eastAsia" w:ascii="方正仿宋_GBK" w:hAnsi="方正仿宋_GBK" w:eastAsia="方正仿宋_GBK" w:cs="方正仿宋_GBK"/>
          <w:b/>
          <w:bCs w:val="0"/>
          <w:color w:val="auto"/>
          <w:kern w:val="21"/>
          <w:sz w:val="32"/>
          <w:szCs w:val="32"/>
          <w:highlight w:val="none"/>
          <w:lang w:val="en-US" w:eastAsia="zh-CN"/>
        </w:rPr>
        <w:t>表1  水泥行业监测监控安装点位</w:t>
      </w:r>
    </w:p>
    <w:tbl>
      <w:tblPr>
        <w:tblStyle w:val="13"/>
        <w:tblW w:w="9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7"/>
        <w:gridCol w:w="1829"/>
        <w:gridCol w:w="5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1877" w:type="dxa"/>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position w:val="0"/>
                <w:sz w:val="24"/>
                <w:szCs w:val="24"/>
                <w:highlight w:val="none"/>
              </w:rPr>
            </w:pPr>
            <w:r>
              <w:rPr>
                <w:rFonts w:hint="eastAsia" w:ascii="方正仿宋_GBK" w:hAnsi="方正仿宋_GBK" w:eastAsia="方正仿宋_GBK" w:cs="方正仿宋_GBK"/>
                <w:b/>
                <w:bCs/>
                <w:spacing w:val="0"/>
                <w:kern w:val="21"/>
                <w:position w:val="0"/>
                <w:sz w:val="24"/>
                <w:szCs w:val="24"/>
                <w:highlight w:val="none"/>
              </w:rPr>
              <w:t>监测监控</w:t>
            </w:r>
          </w:p>
        </w:tc>
        <w:tc>
          <w:tcPr>
            <w:tcW w:w="1829" w:type="dxa"/>
            <w:tcBorders>
              <w:top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position w:val="0"/>
                <w:sz w:val="24"/>
                <w:szCs w:val="24"/>
                <w:highlight w:val="none"/>
              </w:rPr>
            </w:pPr>
            <w:r>
              <w:rPr>
                <w:rFonts w:hint="eastAsia" w:ascii="方正仿宋_GBK" w:hAnsi="方正仿宋_GBK" w:eastAsia="方正仿宋_GBK" w:cs="方正仿宋_GBK"/>
                <w:b/>
                <w:bCs/>
                <w:spacing w:val="0"/>
                <w:kern w:val="21"/>
                <w:position w:val="0"/>
                <w:sz w:val="24"/>
                <w:szCs w:val="24"/>
                <w:highlight w:val="none"/>
              </w:rPr>
              <w:t>工序</w:t>
            </w:r>
          </w:p>
        </w:tc>
        <w:tc>
          <w:tcPr>
            <w:tcW w:w="5833" w:type="dxa"/>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position w:val="0"/>
                <w:sz w:val="24"/>
                <w:szCs w:val="24"/>
                <w:highlight w:val="none"/>
              </w:rPr>
            </w:pPr>
            <w:r>
              <w:rPr>
                <w:rFonts w:hint="eastAsia" w:ascii="方正仿宋_GBK" w:hAnsi="方正仿宋_GBK" w:eastAsia="方正仿宋_GBK" w:cs="方正仿宋_GBK"/>
                <w:b/>
                <w:bCs/>
                <w:spacing w:val="0"/>
                <w:kern w:val="21"/>
                <w:position w:val="0"/>
                <w:sz w:val="24"/>
                <w:szCs w:val="24"/>
                <w:highlight w:val="none"/>
              </w:rPr>
              <w:t>安装点位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jc w:val="center"/>
        </w:trPr>
        <w:tc>
          <w:tcPr>
            <w:tcW w:w="1877"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烟气排放连续在线监测系统（CEMS）</w:t>
            </w:r>
            <w:r>
              <w:rPr>
                <w:rFonts w:hint="eastAsia" w:ascii="方正仿宋_GBK" w:hAnsi="方正仿宋_GBK" w:eastAsia="方正仿宋_GBK" w:cs="方正仿宋_GBK"/>
                <w:spacing w:val="0"/>
                <w:kern w:val="21"/>
                <w:position w:val="0"/>
                <w:sz w:val="24"/>
                <w:szCs w:val="24"/>
                <w:highlight w:val="none"/>
                <w:vertAlign w:val="superscript"/>
              </w:rPr>
              <w:t>a</w:t>
            </w:r>
          </w:p>
        </w:tc>
        <w:tc>
          <w:tcPr>
            <w:tcW w:w="1829"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水泥制造</w:t>
            </w:r>
          </w:p>
        </w:tc>
        <w:tc>
          <w:tcPr>
            <w:tcW w:w="5833"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水泥窑及窑尾余热利用系统、水泥窑窑头（冷却机）排气筒、煤磨排气筒、水泥磨主排气筒、独立烘干热源排气筒</w:t>
            </w:r>
            <w:r>
              <w:rPr>
                <w:rFonts w:hint="eastAsia" w:ascii="方正仿宋_GBK" w:hAnsi="方正仿宋_GBK" w:eastAsia="方正仿宋_GBK" w:cs="方正仿宋_GBK"/>
                <w:spacing w:val="0"/>
                <w:kern w:val="21"/>
                <w:position w:val="0"/>
                <w:sz w:val="24"/>
                <w:szCs w:val="24"/>
                <w:highlight w:val="none"/>
                <w:vertAlign w:val="superscript"/>
              </w:rPr>
              <w:t>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jc w:val="center"/>
        </w:trPr>
        <w:tc>
          <w:tcPr>
            <w:tcW w:w="1877"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分布式控制系统</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（DCS）</w:t>
            </w:r>
          </w:p>
        </w:tc>
        <w:tc>
          <w:tcPr>
            <w:tcW w:w="1829"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熟料生产</w:t>
            </w:r>
          </w:p>
        </w:tc>
        <w:tc>
          <w:tcPr>
            <w:tcW w:w="5833"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水泥窑、窑尾烟气处理系统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1877"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高清视频监控</w:t>
            </w:r>
          </w:p>
        </w:tc>
        <w:tc>
          <w:tcPr>
            <w:tcW w:w="182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zh-CN"/>
              </w:rPr>
            </w:pPr>
            <w:r>
              <w:rPr>
                <w:rFonts w:hint="eastAsia" w:ascii="方正仿宋_GBK" w:hAnsi="方正仿宋_GBK" w:eastAsia="方正仿宋_GBK" w:cs="方正仿宋_GBK"/>
                <w:spacing w:val="0"/>
                <w:kern w:val="21"/>
                <w:position w:val="0"/>
                <w:sz w:val="24"/>
                <w:szCs w:val="24"/>
                <w:highlight w:val="none"/>
              </w:rPr>
              <w:t>原料、燃料储库（仓库）</w:t>
            </w:r>
          </w:p>
        </w:tc>
        <w:tc>
          <w:tcPr>
            <w:tcW w:w="583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lang w:val="en-US" w:eastAsia="zh-CN"/>
              </w:rPr>
            </w:pPr>
            <w:r>
              <w:rPr>
                <w:rFonts w:hint="eastAsia" w:ascii="方正仿宋_GBK" w:hAnsi="方正仿宋_GBK" w:eastAsia="方正仿宋_GBK" w:cs="方正仿宋_GBK"/>
                <w:spacing w:val="0"/>
                <w:kern w:val="21"/>
                <w:position w:val="0"/>
                <w:sz w:val="24"/>
                <w:szCs w:val="24"/>
                <w:highlight w:val="none"/>
              </w:rPr>
              <w:t>运输车辆进出口</w:t>
            </w:r>
            <w:r>
              <w:rPr>
                <w:rFonts w:hint="eastAsia" w:ascii="方正仿宋_GBK" w:hAnsi="方正仿宋_GBK" w:eastAsia="方正仿宋_GBK" w:cs="方正仿宋_GBK"/>
                <w:spacing w:val="0"/>
                <w:kern w:val="21"/>
                <w:position w:val="0"/>
                <w:sz w:val="24"/>
                <w:szCs w:val="24"/>
                <w:highlight w:val="none"/>
                <w:vertAlign w:val="superscript"/>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熟料生产</w:t>
            </w:r>
          </w:p>
        </w:tc>
        <w:tc>
          <w:tcPr>
            <w:tcW w:w="583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成品装卸</w:t>
            </w:r>
            <w:r>
              <w:rPr>
                <w:rFonts w:hint="eastAsia" w:ascii="方正仿宋_GBK" w:hAnsi="方正仿宋_GBK" w:eastAsia="方正仿宋_GBK" w:cs="方正仿宋_GBK"/>
                <w:spacing w:val="0"/>
                <w:kern w:val="21"/>
                <w:position w:val="0"/>
                <w:sz w:val="24"/>
                <w:szCs w:val="24"/>
                <w:highlight w:val="none"/>
                <w:vertAlign w:val="superscript"/>
                <w:lang w:val="en-US" w:eastAsia="zh-CN"/>
              </w:rPr>
              <w:t>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发运</w:t>
            </w:r>
          </w:p>
        </w:tc>
        <w:tc>
          <w:tcPr>
            <w:tcW w:w="583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进出广场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18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CEMS</w:t>
            </w:r>
          </w:p>
        </w:tc>
        <w:tc>
          <w:tcPr>
            <w:tcW w:w="583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站房内、采样平台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1877" w:type="dxa"/>
            <w:tcBorders>
              <w:top w:val="single" w:color="auto" w:sz="4" w:space="0"/>
              <w:left w:val="single" w:color="000000" w:sz="6"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门禁及视频监控系统</w:t>
            </w:r>
          </w:p>
        </w:tc>
        <w:tc>
          <w:tcPr>
            <w:tcW w:w="1829" w:type="dxa"/>
            <w:tcBorders>
              <w:top w:val="single" w:color="auto" w:sz="4"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厂区</w:t>
            </w:r>
          </w:p>
        </w:tc>
        <w:tc>
          <w:tcPr>
            <w:tcW w:w="5833" w:type="dxa"/>
            <w:tcBorders>
              <w:top w:val="single" w:color="auto" w:sz="4" w:space="0"/>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厂区进出口</w:t>
            </w:r>
          </w:p>
        </w:tc>
      </w:tr>
    </w:tbl>
    <w:p>
      <w:pPr>
        <w:keepNext w:val="0"/>
        <w:keepLines w:val="0"/>
        <w:pageBreakBefore w:val="0"/>
        <w:widowControl w:val="0"/>
        <w:kinsoku/>
        <w:wordWrap/>
        <w:overflowPunct/>
        <w:topLinePunct w:val="0"/>
        <w:autoSpaceDE/>
        <w:autoSpaceDN/>
        <w:bidi w:val="0"/>
        <w:adjustRightInd w:val="0"/>
        <w:snapToGrid w:val="0"/>
        <w:spacing w:before="0" w:line="400" w:lineRule="exact"/>
        <w:ind w:left="0" w:firstLine="494" w:firstLineChars="200"/>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注：</w:t>
      </w:r>
      <w:r>
        <w:rPr>
          <w:rFonts w:hint="eastAsia" w:ascii="方正仿宋_GBK" w:hAnsi="方正仿宋_GBK" w:eastAsia="方正仿宋_GBK" w:cs="方正仿宋_GBK"/>
          <w:spacing w:val="0"/>
          <w:kern w:val="21"/>
          <w:position w:val="0"/>
          <w:sz w:val="24"/>
          <w:szCs w:val="24"/>
          <w:highlight w:val="none"/>
        </w:rPr>
        <w:t>a</w:t>
      </w:r>
      <w:r>
        <w:rPr>
          <w:rFonts w:hint="eastAsia" w:ascii="方正仿宋_GBK" w:hAnsi="方正仿宋_GBK" w:eastAsia="方正仿宋_GBK" w:cs="方正仿宋_GBK"/>
          <w:spacing w:val="0"/>
          <w:kern w:val="21"/>
          <w:sz w:val="24"/>
          <w:szCs w:val="24"/>
          <w:highlight w:val="none"/>
        </w:rPr>
        <w:t>监测指标依据</w:t>
      </w:r>
      <w:r>
        <w:rPr>
          <w:rFonts w:hint="eastAsia" w:ascii="方正仿宋_GBK" w:hAnsi="方正仿宋_GBK" w:eastAsia="方正仿宋_GBK" w:cs="方正仿宋_GBK"/>
          <w:spacing w:val="0"/>
          <w:kern w:val="21"/>
          <w:sz w:val="24"/>
          <w:szCs w:val="24"/>
          <w:highlight w:val="none"/>
          <w:lang w:val="en-US" w:eastAsia="zh-CN"/>
        </w:rPr>
        <w:t>附件2表1</w:t>
      </w:r>
      <w:r>
        <w:rPr>
          <w:rFonts w:hint="eastAsia" w:ascii="方正仿宋_GBK" w:hAnsi="方正仿宋_GBK" w:eastAsia="方正仿宋_GBK" w:cs="方正仿宋_GBK"/>
          <w:spacing w:val="0"/>
          <w:kern w:val="21"/>
          <w:sz w:val="24"/>
          <w:szCs w:val="24"/>
          <w:highlight w:val="none"/>
        </w:rPr>
        <w:t>设置，水泥窑及窑尾余热利用系统增加氨污染因子自动监测。</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right="0" w:firstLine="494" w:firstLineChars="200"/>
        <w:textAlignment w:val="auto"/>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position w:val="0"/>
          <w:sz w:val="24"/>
          <w:szCs w:val="24"/>
          <w:highlight w:val="none"/>
        </w:rPr>
        <w:t>b</w:t>
      </w:r>
      <w:r>
        <w:rPr>
          <w:rFonts w:hint="eastAsia" w:ascii="方正仿宋_GBK" w:hAnsi="方正仿宋_GBK" w:eastAsia="方正仿宋_GBK" w:cs="方正仿宋_GBK"/>
          <w:spacing w:val="0"/>
          <w:kern w:val="21"/>
          <w:sz w:val="24"/>
          <w:szCs w:val="24"/>
          <w:highlight w:val="none"/>
        </w:rPr>
        <w:t>使用电为能源的，监测指标为颗粒物；使用天然气为燃料的，监测指标为颗粒物和氮氧化物；使用其他燃料的，监测指标为颗粒物、二氧化硫、氮氧化物。</w:t>
      </w:r>
    </w:p>
    <w:p>
      <w:pPr>
        <w:keepNext w:val="0"/>
        <w:keepLines w:val="0"/>
        <w:pageBreakBefore w:val="0"/>
        <w:widowControl w:val="0"/>
        <w:kinsoku/>
        <w:wordWrap/>
        <w:overflowPunct/>
        <w:topLinePunct w:val="0"/>
        <w:autoSpaceDE/>
        <w:autoSpaceDN/>
        <w:bidi w:val="0"/>
        <w:adjustRightInd w:val="0"/>
        <w:snapToGrid w:val="0"/>
        <w:spacing w:before="0" w:line="400" w:lineRule="exact"/>
        <w:ind w:left="0" w:firstLine="494" w:firstLineChars="200"/>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c高清视频监控能够覆盖成品装卸所有车辆出入口。</w:t>
      </w:r>
    </w:p>
    <w:p>
      <w:pPr>
        <w:pStyle w:val="2"/>
        <w:rPr>
          <w:rFonts w:hint="eastAsia" w:ascii="方正仿宋_GBK" w:hAnsi="方正仿宋_GBK" w:eastAsia="方正仿宋_GBK" w:cs="方正仿宋_GBK"/>
          <w:spacing w:val="0"/>
          <w:kern w:val="21"/>
          <w:position w:val="0"/>
          <w:sz w:val="24"/>
          <w:szCs w:val="24"/>
          <w:highlight w:val="none"/>
        </w:rPr>
      </w:pP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r>
        <w:rPr>
          <w:rFonts w:hint="eastAsia" w:ascii="方正仿宋_GBK" w:hAnsi="方正仿宋_GBK" w:eastAsia="方正仿宋_GBK" w:cs="方正仿宋_GBK"/>
          <w:b/>
          <w:bCs w:val="0"/>
          <w:color w:val="auto"/>
          <w:kern w:val="21"/>
          <w:sz w:val="32"/>
          <w:szCs w:val="32"/>
          <w:highlight w:val="none"/>
          <w:lang w:val="en-US" w:eastAsia="zh-CN"/>
        </w:rPr>
        <w:t>表2  焦化行业监测监控安装点位</w:t>
      </w:r>
    </w:p>
    <w:tbl>
      <w:tblPr>
        <w:tblStyle w:val="13"/>
        <w:tblW w:w="90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1305"/>
        <w:gridCol w:w="59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784" w:type="dxa"/>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position w:val="0"/>
                <w:sz w:val="24"/>
                <w:szCs w:val="24"/>
                <w:highlight w:val="none"/>
              </w:rPr>
            </w:pPr>
            <w:r>
              <w:rPr>
                <w:rFonts w:hint="eastAsia" w:ascii="方正仿宋_GBK" w:hAnsi="方正仿宋_GBK" w:eastAsia="方正仿宋_GBK" w:cs="方正仿宋_GBK"/>
                <w:b/>
                <w:bCs/>
                <w:spacing w:val="0"/>
                <w:kern w:val="21"/>
                <w:position w:val="0"/>
                <w:sz w:val="24"/>
                <w:szCs w:val="24"/>
                <w:highlight w:val="none"/>
              </w:rPr>
              <w:t>监测监控</w:t>
            </w:r>
          </w:p>
        </w:tc>
        <w:tc>
          <w:tcPr>
            <w:tcW w:w="1305" w:type="dxa"/>
            <w:tcBorders>
              <w:top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position w:val="0"/>
                <w:sz w:val="24"/>
                <w:szCs w:val="24"/>
                <w:highlight w:val="none"/>
              </w:rPr>
            </w:pPr>
            <w:r>
              <w:rPr>
                <w:rFonts w:hint="eastAsia" w:ascii="方正仿宋_GBK" w:hAnsi="方正仿宋_GBK" w:eastAsia="方正仿宋_GBK" w:cs="方正仿宋_GBK"/>
                <w:b/>
                <w:bCs/>
                <w:spacing w:val="0"/>
                <w:kern w:val="21"/>
                <w:position w:val="0"/>
                <w:sz w:val="24"/>
                <w:szCs w:val="24"/>
                <w:highlight w:val="none"/>
              </w:rPr>
              <w:t>工序</w:t>
            </w:r>
          </w:p>
        </w:tc>
        <w:tc>
          <w:tcPr>
            <w:tcW w:w="5976" w:type="dxa"/>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position w:val="0"/>
                <w:sz w:val="24"/>
                <w:szCs w:val="24"/>
                <w:highlight w:val="none"/>
              </w:rPr>
            </w:pPr>
            <w:r>
              <w:rPr>
                <w:rFonts w:hint="eastAsia" w:ascii="方正仿宋_GBK" w:hAnsi="方正仿宋_GBK" w:eastAsia="方正仿宋_GBK" w:cs="方正仿宋_GBK"/>
                <w:b/>
                <w:bCs/>
                <w:spacing w:val="0"/>
                <w:kern w:val="21"/>
                <w:position w:val="0"/>
                <w:sz w:val="24"/>
                <w:szCs w:val="24"/>
                <w:highlight w:val="none"/>
              </w:rPr>
              <w:t>安装点位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784" w:type="dxa"/>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烟气排放连续在线监测系统（CEMS）a</w:t>
            </w:r>
          </w:p>
        </w:tc>
        <w:tc>
          <w:tcPr>
            <w:tcW w:w="130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zh-CN" w:bidi="ar-SA"/>
              </w:rPr>
            </w:pPr>
            <w:r>
              <w:rPr>
                <w:rFonts w:hint="eastAsia" w:ascii="方正仿宋_GBK" w:hAnsi="方正仿宋_GBK" w:eastAsia="方正仿宋_GBK" w:cs="方正仿宋_GBK"/>
                <w:spacing w:val="0"/>
                <w:kern w:val="21"/>
                <w:position w:val="0"/>
                <w:sz w:val="24"/>
                <w:szCs w:val="24"/>
                <w:highlight w:val="none"/>
                <w:lang w:val="en-US" w:eastAsia="zh-CN"/>
              </w:rPr>
              <w:t>炼焦</w:t>
            </w:r>
          </w:p>
        </w:tc>
        <w:tc>
          <w:tcPr>
            <w:tcW w:w="597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spacing w:val="0"/>
                <w:kern w:val="21"/>
                <w:position w:val="0"/>
                <w:sz w:val="24"/>
                <w:szCs w:val="24"/>
                <w:highlight w:val="none"/>
                <w:lang w:val="en-US" w:eastAsia="en-US" w:bidi="ar-SA"/>
              </w:rPr>
            </w:pPr>
            <w:r>
              <w:rPr>
                <w:rFonts w:hint="eastAsia" w:ascii="方正仿宋_GBK" w:hAnsi="方正仿宋_GBK" w:eastAsia="方正仿宋_GBK" w:cs="方正仿宋_GBK"/>
                <w:spacing w:val="0"/>
                <w:kern w:val="21"/>
                <w:position w:val="0"/>
                <w:sz w:val="24"/>
                <w:szCs w:val="24"/>
                <w:highlight w:val="none"/>
              </w:rPr>
              <w:t>焦炉烟囱（含热备烟囱）、装煤、推焦、干法熄焦、燃用煤气的管式炉、锅炉排气筒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1784" w:type="dxa"/>
            <w:vMerge w:val="restart"/>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分布式控制系统</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（DCS）</w:t>
            </w:r>
          </w:p>
        </w:tc>
        <w:tc>
          <w:tcPr>
            <w:tcW w:w="1305"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en-US" w:bidi="ar-SA"/>
              </w:rPr>
            </w:pPr>
            <w:r>
              <w:rPr>
                <w:rFonts w:hint="eastAsia" w:ascii="方正仿宋_GBK" w:hAnsi="方正仿宋_GBK" w:eastAsia="方正仿宋_GBK" w:cs="方正仿宋_GBK"/>
                <w:spacing w:val="0"/>
                <w:kern w:val="21"/>
                <w:position w:val="0"/>
                <w:sz w:val="24"/>
                <w:szCs w:val="24"/>
                <w:highlight w:val="none"/>
              </w:rPr>
              <w:t>炼焦</w:t>
            </w:r>
          </w:p>
        </w:tc>
        <w:tc>
          <w:tcPr>
            <w:tcW w:w="597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spacing w:val="0"/>
                <w:kern w:val="21"/>
                <w:position w:val="0"/>
                <w:sz w:val="24"/>
                <w:szCs w:val="24"/>
                <w:highlight w:val="none"/>
                <w:lang w:val="en-US" w:eastAsia="en-US" w:bidi="ar-SA"/>
              </w:rPr>
            </w:pPr>
            <w:r>
              <w:rPr>
                <w:rFonts w:hint="eastAsia" w:ascii="方正仿宋_GBK" w:hAnsi="方正仿宋_GBK" w:eastAsia="方正仿宋_GBK" w:cs="方正仿宋_GBK"/>
                <w:spacing w:val="0"/>
                <w:kern w:val="21"/>
                <w:position w:val="0"/>
                <w:sz w:val="24"/>
                <w:szCs w:val="24"/>
                <w:highlight w:val="none"/>
              </w:rPr>
              <w:t>焦炉、焦炉烟囱脱硫脱硝设施、装煤、推（出）焦、干法熄焦、控制中心、锅炉、发电机组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784" w:type="dxa"/>
            <w:vMerge w:val="continue"/>
            <w:tcBorders>
              <w:lef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305" w:type="dxa"/>
            <w:vMerge w:val="restart"/>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煤气净化</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（化学产品</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深加工）</w:t>
            </w:r>
          </w:p>
        </w:tc>
        <w:tc>
          <w:tcPr>
            <w:tcW w:w="5976"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中控、煤气管网、煤气放散火炬、粗苯和焦油储槽等生产设施及VOCs废气治理设施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1784" w:type="dxa"/>
            <w:vMerge w:val="continue"/>
            <w:tcBorders>
              <w:left w:val="single" w:color="000000" w:sz="6" w:space="0"/>
              <w:bottom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305"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5976" w:type="dxa"/>
            <w:tcBorders>
              <w:bottom w:val="single" w:color="auto" w:sz="4"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加热炉、蒸馏设施、装卸等生产设施及VOCs废气治理设施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jc w:val="center"/>
        </w:trPr>
        <w:tc>
          <w:tcPr>
            <w:tcW w:w="1784"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高清视频监控</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zh-CN"/>
              </w:rPr>
            </w:pPr>
            <w:r>
              <w:rPr>
                <w:rFonts w:hint="eastAsia" w:ascii="方正仿宋_GBK" w:hAnsi="方正仿宋_GBK" w:eastAsia="方正仿宋_GBK" w:cs="方正仿宋_GBK"/>
                <w:spacing w:val="0"/>
                <w:kern w:val="21"/>
                <w:position w:val="0"/>
                <w:sz w:val="24"/>
                <w:szCs w:val="24"/>
                <w:highlight w:val="none"/>
                <w:lang w:val="en-US" w:eastAsia="zh-CN"/>
              </w:rPr>
              <w:t>料场</w:t>
            </w:r>
          </w:p>
        </w:tc>
        <w:tc>
          <w:tcPr>
            <w:tcW w:w="59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储煤、储焦装置出入口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17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zh-CN"/>
              </w:rPr>
            </w:pPr>
            <w:r>
              <w:rPr>
                <w:rFonts w:hint="eastAsia" w:ascii="方正仿宋_GBK" w:hAnsi="方正仿宋_GBK" w:eastAsia="方正仿宋_GBK" w:cs="方正仿宋_GBK"/>
                <w:spacing w:val="0"/>
                <w:kern w:val="21"/>
                <w:position w:val="0"/>
                <w:sz w:val="24"/>
                <w:szCs w:val="24"/>
                <w:highlight w:val="none"/>
                <w:lang w:val="en-US" w:eastAsia="zh-CN"/>
              </w:rPr>
              <w:t>炼焦</w:t>
            </w:r>
          </w:p>
        </w:tc>
        <w:tc>
          <w:tcPr>
            <w:tcW w:w="59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焦炉炉顶、焦炉机侧和焦侧（含半焦炉出焦侧）、干熄焦装入装置、湿熄焦塔、筛焦楼筛分、焦炭装车区域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7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CEMS</w:t>
            </w:r>
          </w:p>
        </w:tc>
        <w:tc>
          <w:tcPr>
            <w:tcW w:w="59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站房内、采样平台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jc w:val="center"/>
        </w:trPr>
        <w:tc>
          <w:tcPr>
            <w:tcW w:w="17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zh-CN" w:bidi="ar-SA"/>
              </w:rPr>
            </w:pPr>
            <w:r>
              <w:rPr>
                <w:rFonts w:hint="eastAsia" w:ascii="方正仿宋_GBK" w:hAnsi="方正仿宋_GBK" w:eastAsia="方正仿宋_GBK" w:cs="方正仿宋_GBK"/>
                <w:spacing w:val="0"/>
                <w:kern w:val="21"/>
                <w:position w:val="0"/>
                <w:sz w:val="24"/>
                <w:szCs w:val="24"/>
                <w:highlight w:val="none"/>
                <w:lang w:val="en-US" w:eastAsia="zh-CN" w:bidi="ar-SA"/>
              </w:rPr>
              <w:t>无组织排放</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lang w:val="en-US" w:eastAsia="zh-CN"/>
              </w:rPr>
            </w:pPr>
            <w:r>
              <w:rPr>
                <w:rFonts w:hint="eastAsia" w:ascii="方正仿宋_GBK" w:hAnsi="方正仿宋_GBK" w:eastAsia="方正仿宋_GBK" w:cs="方正仿宋_GBK"/>
                <w:spacing w:val="0"/>
                <w:kern w:val="21"/>
                <w:position w:val="0"/>
                <w:sz w:val="24"/>
                <w:szCs w:val="24"/>
                <w:highlight w:val="none"/>
                <w:lang w:val="en-US" w:eastAsia="zh-CN" w:bidi="ar-SA"/>
              </w:rPr>
              <w:t>监测设备</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sz w:val="24"/>
                <w:szCs w:val="24"/>
                <w:highlight w:val="none"/>
              </w:rPr>
              <w:t>厂区内部</w:t>
            </w:r>
          </w:p>
        </w:tc>
        <w:tc>
          <w:tcPr>
            <w:tcW w:w="59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sz w:val="24"/>
                <w:szCs w:val="24"/>
                <w:highlight w:val="none"/>
              </w:rPr>
              <w:t>主要产尘点密闭罩、收尘罩等无组织排放控制设施周边设置</w:t>
            </w:r>
            <w:r>
              <w:rPr>
                <w:rFonts w:hint="eastAsia" w:ascii="方正仿宋_GBK" w:hAnsi="方正仿宋_GBK" w:eastAsia="方正仿宋_GBK" w:cs="方正仿宋_GBK"/>
                <w:kern w:val="21"/>
                <w:sz w:val="24"/>
                <w:szCs w:val="24"/>
                <w:highlight w:val="none"/>
              </w:rPr>
              <w:t>TSP</w:t>
            </w:r>
            <w:r>
              <w:rPr>
                <w:rFonts w:hint="eastAsia" w:ascii="方正仿宋_GBK" w:hAnsi="方正仿宋_GBK" w:eastAsia="方正仿宋_GBK" w:cs="方正仿宋_GBK"/>
                <w:spacing w:val="0"/>
                <w:kern w:val="21"/>
                <w:sz w:val="24"/>
                <w:szCs w:val="24"/>
                <w:highlight w:val="none"/>
              </w:rPr>
              <w:t>浓度监测仪；储煤、储焦装置出入口、焦炉区域、厂内物料运输主干道路口、长度超过200米的物料运输道路中部设置空气质量监测微站（监测因子至少包括PM</w:t>
            </w:r>
            <w:r>
              <w:rPr>
                <w:rFonts w:hint="eastAsia" w:ascii="方正仿宋_GBK" w:hAnsi="方正仿宋_GBK" w:eastAsia="方正仿宋_GBK" w:cs="方正仿宋_GBK"/>
                <w:spacing w:val="0"/>
                <w:kern w:val="21"/>
                <w:position w:val="0"/>
                <w:sz w:val="24"/>
                <w:szCs w:val="24"/>
                <w:highlight w:val="none"/>
                <w:vertAlign w:val="subscript"/>
              </w:rPr>
              <w:t>2.5</w:t>
            </w:r>
            <w:r>
              <w:rPr>
                <w:rFonts w:hint="eastAsia" w:ascii="方正仿宋_GBK" w:hAnsi="方正仿宋_GBK" w:eastAsia="方正仿宋_GBK" w:cs="方正仿宋_GBK"/>
                <w:spacing w:val="0"/>
                <w:kern w:val="21"/>
                <w:sz w:val="24"/>
                <w:szCs w:val="24"/>
                <w:highlight w:val="none"/>
              </w:rPr>
              <w:t>、PM</w:t>
            </w:r>
            <w:r>
              <w:rPr>
                <w:rFonts w:hint="eastAsia" w:ascii="方正仿宋_GBK" w:hAnsi="方正仿宋_GBK" w:eastAsia="方正仿宋_GBK" w:cs="方正仿宋_GBK"/>
                <w:spacing w:val="0"/>
                <w:kern w:val="21"/>
                <w:position w:val="0"/>
                <w:sz w:val="24"/>
                <w:szCs w:val="24"/>
                <w:highlight w:val="none"/>
                <w:vertAlign w:val="subscript"/>
              </w:rPr>
              <w:t>10</w:t>
            </w:r>
            <w:r>
              <w:rPr>
                <w:rFonts w:hint="eastAsia" w:ascii="方正仿宋_GBK" w:hAnsi="方正仿宋_GBK" w:eastAsia="方正仿宋_GBK" w:cs="方正仿宋_GBK"/>
                <w:spacing w:val="0"/>
                <w:kern w:val="21"/>
                <w:sz w:val="24"/>
                <w:szCs w:val="24"/>
                <w:highlight w:val="none"/>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11" w:hRule="atLeast"/>
          <w:jc w:val="center"/>
        </w:trPr>
        <w:tc>
          <w:tcPr>
            <w:tcW w:w="17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p>
        </w:tc>
        <w:tc>
          <w:tcPr>
            <w:tcW w:w="5976"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sz w:val="24"/>
                <w:szCs w:val="24"/>
                <w:highlight w:val="none"/>
              </w:rPr>
              <w:t>煤气净化、油库、化学产品深加工等区域安装光离子化检测器（PID）、氢火焰离子化检测器（FID）等VOCs监测设备，其中煤气净化区域至少安装一套FID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jc w:val="center"/>
        </w:trPr>
        <w:tc>
          <w:tcPr>
            <w:tcW w:w="1784" w:type="dxa"/>
            <w:tcBorders>
              <w:top w:val="single" w:color="auto" w:sz="4" w:space="0"/>
              <w:left w:val="single" w:color="000000" w:sz="6"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门禁及视频监控系统</w:t>
            </w:r>
          </w:p>
        </w:tc>
        <w:tc>
          <w:tcPr>
            <w:tcW w:w="1305" w:type="dxa"/>
            <w:tcBorders>
              <w:top w:val="single" w:color="auto" w:sz="4" w:space="0"/>
              <w:bottom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厂区</w:t>
            </w:r>
          </w:p>
        </w:tc>
        <w:tc>
          <w:tcPr>
            <w:tcW w:w="5976" w:type="dxa"/>
            <w:tcBorders>
              <w:top w:val="single" w:color="auto" w:sz="4" w:space="0"/>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position w:val="0"/>
                <w:sz w:val="24"/>
                <w:szCs w:val="24"/>
                <w:highlight w:val="none"/>
              </w:rPr>
            </w:pPr>
            <w:r>
              <w:rPr>
                <w:rFonts w:hint="eastAsia" w:ascii="方正仿宋_GBK" w:hAnsi="方正仿宋_GBK" w:eastAsia="方正仿宋_GBK" w:cs="方正仿宋_GBK"/>
                <w:spacing w:val="0"/>
                <w:kern w:val="21"/>
                <w:position w:val="0"/>
                <w:sz w:val="24"/>
                <w:szCs w:val="24"/>
                <w:highlight w:val="none"/>
              </w:rPr>
              <w:t>厂区进出口</w:t>
            </w:r>
          </w:p>
        </w:tc>
      </w:tr>
    </w:tbl>
    <w:p>
      <w:pPr>
        <w:adjustRightInd w:val="0"/>
        <w:snapToGrid w:val="0"/>
        <w:spacing w:before="0" w:line="600" w:lineRule="exact"/>
        <w:ind w:left="0" w:firstLine="394" w:firstLineChars="200"/>
        <w:rPr>
          <w:rFonts w:hint="eastAsia" w:ascii="宋体" w:hAnsi="宋体" w:eastAsia="宋体" w:cs="宋体"/>
          <w:spacing w:val="0"/>
          <w:kern w:val="21"/>
          <w:position w:val="0"/>
          <w:sz w:val="19"/>
          <w:szCs w:val="19"/>
          <w:highlight w:val="none"/>
          <w:lang w:val="en-US" w:eastAsia="zh-CN"/>
        </w:rPr>
      </w:pPr>
    </w:p>
    <w:p>
      <w:pPr>
        <w:rPr>
          <w:highlight w:val="none"/>
        </w:r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t>附件5</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219" w:beforeLines="70" w:beforeAutospacing="0" w:after="157" w:afterLines="50" w:afterAutospacing="0" w:line="600" w:lineRule="exact"/>
        <w:ind w:right="0" w:firstLine="0" w:firstLineChars="0"/>
        <w:jc w:val="cente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pPr>
      <w: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t>分布式控制系统（DCS）关键参数</w:t>
      </w:r>
    </w:p>
    <w:p>
      <w:pPr>
        <w:keepNext w:val="0"/>
        <w:keepLines w:val="0"/>
        <w:pageBreakBefore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仿宋_GBK" w:hAnsi="方正仿宋_GBK" w:eastAsia="方正仿宋_GBK" w:cs="方正仿宋_GBK"/>
          <w:b/>
          <w:bCs w:val="0"/>
          <w:color w:val="auto"/>
          <w:kern w:val="21"/>
          <w:sz w:val="32"/>
          <w:szCs w:val="32"/>
          <w:highlight w:val="none"/>
          <w:lang w:val="en-US" w:eastAsia="zh-CN"/>
        </w:rPr>
      </w:pPr>
      <w:r>
        <w:rPr>
          <w:rFonts w:hint="eastAsia" w:ascii="方正仿宋_GBK" w:hAnsi="方正仿宋_GBK" w:eastAsia="方正仿宋_GBK" w:cs="方正仿宋_GBK"/>
          <w:b/>
          <w:bCs w:val="0"/>
          <w:color w:val="auto"/>
          <w:kern w:val="21"/>
          <w:sz w:val="32"/>
          <w:szCs w:val="32"/>
          <w:highlight w:val="none"/>
          <w:lang w:val="en-US" w:eastAsia="zh-CN"/>
        </w:rPr>
        <w:t>表1  水泥行业分布式控制系统（DCS）关键参数</w:t>
      </w:r>
    </w:p>
    <w:tbl>
      <w:tblPr>
        <w:tblStyle w:val="13"/>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01"/>
        <w:gridCol w:w="78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52" w:hRule="atLeast"/>
          <w:jc w:val="center"/>
        </w:trPr>
        <w:tc>
          <w:tcPr>
            <w:tcW w:w="1401" w:type="dxa"/>
            <w:noWrap w:val="0"/>
            <w:vAlign w:val="center"/>
          </w:tcPr>
          <w:p>
            <w:pPr>
              <w:adjustRightInd w:val="0"/>
              <w:snapToGrid w:val="0"/>
              <w:spacing w:before="0" w:line="240" w:lineRule="auto"/>
              <w:ind w:left="0" w:firstLine="0" w:firstLineChars="0"/>
              <w:jc w:val="center"/>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工序</w:t>
            </w:r>
          </w:p>
        </w:tc>
        <w:tc>
          <w:tcPr>
            <w:tcW w:w="7818" w:type="dxa"/>
            <w:noWrap w:val="0"/>
            <w:vAlign w:val="center"/>
          </w:tcPr>
          <w:p>
            <w:pPr>
              <w:adjustRightInd w:val="0"/>
              <w:snapToGrid w:val="0"/>
              <w:spacing w:before="0" w:line="240" w:lineRule="auto"/>
              <w:ind w:left="0" w:firstLine="0" w:firstLineChars="0"/>
              <w:jc w:val="center"/>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1401" w:type="dxa"/>
            <w:noWrap w:val="0"/>
            <w:vAlign w:val="center"/>
          </w:tcPr>
          <w:p>
            <w:pPr>
              <w:pStyle w:val="14"/>
              <w:adjustRightInd w:val="0"/>
              <w:snapToGrid w:val="0"/>
              <w:spacing w:before="0" w:line="240" w:lineRule="auto"/>
              <w:ind w:lef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水泥窑生产</w:t>
            </w:r>
          </w:p>
        </w:tc>
        <w:tc>
          <w:tcPr>
            <w:tcW w:w="7818" w:type="dxa"/>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水泥窑喂料量、喂煤量（窑头燃烧器、分解炉）、分解炉温度，预热器出口温度、CO浓度，协同处置固体废物入窑量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3" w:hRule="atLeast"/>
          <w:jc w:val="center"/>
        </w:trPr>
        <w:tc>
          <w:tcPr>
            <w:tcW w:w="1401" w:type="dxa"/>
            <w:vMerge w:val="restart"/>
            <w:noWrap w:val="0"/>
            <w:vAlign w:val="center"/>
          </w:tcPr>
          <w:p>
            <w:pPr>
              <w:pStyle w:val="14"/>
              <w:adjustRightInd w:val="0"/>
              <w:snapToGrid w:val="0"/>
              <w:spacing w:before="0" w:line="240" w:lineRule="auto"/>
              <w:ind w:left="0" w:leftChars="0" w:righ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lang w:val="en-US" w:eastAsia="zh-CN"/>
              </w:rPr>
              <w:t>水泥窑</w:t>
            </w:r>
            <w:r>
              <w:rPr>
                <w:rFonts w:hint="eastAsia" w:ascii="方正仿宋_GBK" w:hAnsi="方正仿宋_GBK" w:eastAsia="方正仿宋_GBK" w:cs="方正仿宋_GBK"/>
                <w:spacing w:val="0"/>
                <w:kern w:val="21"/>
                <w:sz w:val="24"/>
                <w:szCs w:val="24"/>
                <w:highlight w:val="none"/>
              </w:rPr>
              <w:t>窑尾烟气处理系统</w:t>
            </w:r>
          </w:p>
        </w:tc>
        <w:tc>
          <w:tcPr>
            <w:tcW w:w="7818" w:type="dxa"/>
            <w:noWrap w:val="0"/>
            <w:vAlign w:val="center"/>
          </w:tcPr>
          <w:p>
            <w:pPr>
              <w:pStyle w:val="14"/>
              <w:adjustRightInd w:val="0"/>
              <w:snapToGrid w:val="0"/>
              <w:spacing w:before="0" w:line="240" w:lineRule="auto"/>
              <w:ind w:lef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窑尾排放口烟气量、含氧量、烟气温度、氨排放浓度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401" w:type="dxa"/>
            <w:vMerge w:val="continue"/>
            <w:noWrap w:val="0"/>
            <w:vAlign w:val="center"/>
          </w:tcPr>
          <w:p>
            <w:pPr>
              <w:adjustRightInd w:val="0"/>
              <w:snapToGrid w:val="0"/>
              <w:spacing w:line="240" w:lineRule="auto"/>
              <w:ind w:firstLine="0" w:firstLineChars="0"/>
              <w:jc w:val="center"/>
              <w:rPr>
                <w:rFonts w:hint="eastAsia" w:ascii="方正仿宋_GBK" w:hAnsi="方正仿宋_GBK" w:eastAsia="方正仿宋_GBK" w:cs="方正仿宋_GBK"/>
                <w:kern w:val="21"/>
                <w:sz w:val="24"/>
                <w:szCs w:val="24"/>
                <w:highlight w:val="none"/>
              </w:rPr>
            </w:pPr>
          </w:p>
        </w:tc>
        <w:tc>
          <w:tcPr>
            <w:tcW w:w="7818" w:type="dxa"/>
            <w:noWrap w:val="0"/>
            <w:vAlign w:val="center"/>
          </w:tcPr>
          <w:p>
            <w:pPr>
              <w:pStyle w:val="14"/>
              <w:adjustRightInd w:val="0"/>
              <w:snapToGrid w:val="0"/>
              <w:spacing w:before="0" w:line="240" w:lineRule="auto"/>
              <w:ind w:lef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除尘：除尘器风量、风机电流、颗粒物排放浓度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66" w:hRule="atLeast"/>
          <w:jc w:val="center"/>
        </w:trPr>
        <w:tc>
          <w:tcPr>
            <w:tcW w:w="1401" w:type="dxa"/>
            <w:vMerge w:val="continue"/>
            <w:noWrap w:val="0"/>
            <w:vAlign w:val="center"/>
          </w:tcPr>
          <w:p>
            <w:pPr>
              <w:adjustRightInd w:val="0"/>
              <w:snapToGrid w:val="0"/>
              <w:spacing w:line="240" w:lineRule="auto"/>
              <w:ind w:firstLine="0" w:firstLineChars="0"/>
              <w:jc w:val="center"/>
              <w:rPr>
                <w:rFonts w:hint="eastAsia" w:ascii="方正仿宋_GBK" w:hAnsi="方正仿宋_GBK" w:eastAsia="方正仿宋_GBK" w:cs="方正仿宋_GBK"/>
                <w:kern w:val="21"/>
                <w:sz w:val="24"/>
                <w:szCs w:val="24"/>
                <w:highlight w:val="none"/>
              </w:rPr>
            </w:pPr>
          </w:p>
        </w:tc>
        <w:tc>
          <w:tcPr>
            <w:tcW w:w="7818" w:type="dxa"/>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脱硫：脱硫剂使用量、脱硫剂仓料（液）位（与CEMS时间同步）、风机电流、二氧化硫排放浓度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34" w:hRule="atLeast"/>
          <w:jc w:val="center"/>
        </w:trPr>
        <w:tc>
          <w:tcPr>
            <w:tcW w:w="1401" w:type="dxa"/>
            <w:vMerge w:val="continue"/>
            <w:noWrap w:val="0"/>
            <w:vAlign w:val="center"/>
          </w:tcPr>
          <w:p>
            <w:pPr>
              <w:adjustRightInd w:val="0"/>
              <w:snapToGrid w:val="0"/>
              <w:spacing w:line="240" w:lineRule="auto"/>
              <w:ind w:firstLine="0" w:firstLineChars="0"/>
              <w:jc w:val="center"/>
              <w:rPr>
                <w:rFonts w:hint="eastAsia" w:ascii="方正仿宋_GBK" w:hAnsi="方正仿宋_GBK" w:eastAsia="方正仿宋_GBK" w:cs="方正仿宋_GBK"/>
                <w:kern w:val="21"/>
                <w:sz w:val="24"/>
                <w:szCs w:val="24"/>
                <w:highlight w:val="none"/>
              </w:rPr>
            </w:pPr>
          </w:p>
        </w:tc>
        <w:tc>
          <w:tcPr>
            <w:tcW w:w="7818" w:type="dxa"/>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脱硝：脱硝剂（还原剂）使用量、脱硝剂仓料（液）位、脱硝反应器出入口烟气温度和压力、脱硝反应器出入口氮氧化物浓度、风机电流、氮氧化物排放浓度</w:t>
            </w:r>
          </w:p>
        </w:tc>
      </w:tr>
    </w:tbl>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574" w:firstLineChars="200"/>
        <w:jc w:val="both"/>
        <w:rPr>
          <w:rFonts w:hint="eastAsia" w:ascii="Times New Roman" w:hAnsi="Times New Roman" w:cs="Times New Roman"/>
          <w:i w:val="0"/>
          <w:iCs w:val="0"/>
          <w:caps w:val="0"/>
          <w:color w:val="333333"/>
          <w:spacing w:val="0"/>
          <w:kern w:val="21"/>
          <w:sz w:val="28"/>
          <w:szCs w:val="28"/>
          <w:highlight w:val="none"/>
          <w:shd w:val="clear" w:color="auto" w:fill="FFFFFF"/>
          <w:lang w:val="en-US" w:eastAsia="zh-CN"/>
        </w:r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574" w:firstLineChars="200"/>
        <w:jc w:val="both"/>
        <w:rPr>
          <w:rFonts w:hint="eastAsia" w:ascii="Times New Roman" w:hAnsi="Times New Roman" w:cs="Times New Roman"/>
          <w:i w:val="0"/>
          <w:iCs w:val="0"/>
          <w:caps w:val="0"/>
          <w:color w:val="333333"/>
          <w:spacing w:val="0"/>
          <w:kern w:val="21"/>
          <w:sz w:val="28"/>
          <w:szCs w:val="28"/>
          <w:highlight w:val="none"/>
          <w:shd w:val="clear" w:color="auto" w:fill="FFFFFF"/>
          <w:lang w:val="en-US" w:eastAsia="zh-CN"/>
        </w:rPr>
      </w:pPr>
    </w:p>
    <w:p>
      <w:pPr>
        <w:rPr>
          <w:highlight w:val="none"/>
        </w:rPr>
      </w:pPr>
    </w:p>
    <w:p>
      <w:pPr>
        <w:adjustRightInd w:val="0"/>
        <w:snapToGrid w:val="0"/>
        <w:spacing w:before="0" w:line="600" w:lineRule="exact"/>
        <w:ind w:left="0" w:leftChars="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rPr>
      </w:pPr>
    </w:p>
    <w:p>
      <w:pPr>
        <w:adjustRightInd w:val="0"/>
        <w:snapToGrid w:val="0"/>
        <w:spacing w:before="0" w:line="600" w:lineRule="exact"/>
        <w:ind w:left="0" w:leftChars="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rPr>
      </w:pPr>
    </w:p>
    <w:p>
      <w:pPr>
        <w:adjustRightInd w:val="0"/>
        <w:snapToGrid w:val="0"/>
        <w:spacing w:before="0" w:line="600" w:lineRule="exact"/>
        <w:ind w:left="0" w:leftChars="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rPr>
      </w:pPr>
    </w:p>
    <w:p>
      <w:pPr>
        <w:adjustRightInd w:val="0"/>
        <w:snapToGrid w:val="0"/>
        <w:spacing w:before="0" w:line="600" w:lineRule="exact"/>
        <w:ind w:left="0" w:leftChars="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rPr>
      </w:pPr>
    </w:p>
    <w:p>
      <w:pPr>
        <w:adjustRightInd w:val="0"/>
        <w:snapToGrid w:val="0"/>
        <w:spacing w:before="0" w:line="600" w:lineRule="exact"/>
        <w:ind w:left="0" w:leftChars="0" w:firstLine="0" w:firstLineChars="0"/>
        <w:jc w:val="center"/>
        <w:rPr>
          <w:rFonts w:hint="eastAsia" w:ascii="方正仿宋_GBK" w:hAnsi="方正仿宋_GBK" w:eastAsia="方正仿宋_GBK" w:cs="方正仿宋_GBK"/>
          <w:b/>
          <w:bCs w:val="0"/>
          <w:color w:val="auto"/>
          <w:kern w:val="21"/>
          <w:sz w:val="32"/>
          <w:szCs w:val="32"/>
          <w:highlight w:val="none"/>
          <w:lang w:val="en-US" w:eastAsia="zh-CN"/>
        </w:rPr>
      </w:pPr>
    </w:p>
    <w:p>
      <w:pPr>
        <w:adjustRightInd w:val="0"/>
        <w:snapToGrid w:val="0"/>
        <w:spacing w:before="0" w:line="600" w:lineRule="exact"/>
        <w:ind w:left="0" w:leftChars="0" w:firstLine="0" w:firstLineChars="0"/>
        <w:jc w:val="center"/>
        <w:rPr>
          <w:rFonts w:hint="eastAsia" w:ascii="方正仿宋_GBK" w:hAnsi="方正仿宋_GBK" w:eastAsia="方正仿宋_GBK" w:cs="方正仿宋_GBK"/>
          <w:kern w:val="21"/>
          <w:sz w:val="32"/>
          <w:szCs w:val="32"/>
          <w:highlight w:val="none"/>
        </w:rPr>
      </w:pPr>
      <w:r>
        <w:rPr>
          <w:rFonts w:hint="eastAsia" w:ascii="方正仿宋_GBK" w:hAnsi="方正仿宋_GBK" w:eastAsia="方正仿宋_GBK" w:cs="方正仿宋_GBK"/>
          <w:b/>
          <w:bCs w:val="0"/>
          <w:color w:val="auto"/>
          <w:kern w:val="21"/>
          <w:sz w:val="32"/>
          <w:szCs w:val="32"/>
          <w:highlight w:val="none"/>
          <w:lang w:val="en-US" w:eastAsia="zh-CN"/>
        </w:rPr>
        <w:t>表2  焦化行业分布式控制系统（DCS）关键参数</w:t>
      </w:r>
    </w:p>
    <w:tbl>
      <w:tblPr>
        <w:tblStyle w:val="13"/>
        <w:tblW w:w="9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4"/>
        <w:gridCol w:w="81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1354" w:type="dxa"/>
            <w:tcBorders>
              <w:top w:val="single" w:color="000000" w:sz="6" w:space="0"/>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工序</w:t>
            </w:r>
          </w:p>
        </w:tc>
        <w:tc>
          <w:tcPr>
            <w:tcW w:w="8185" w:type="dxa"/>
            <w:tcBorders>
              <w:top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b/>
                <w:bCs/>
                <w:spacing w:val="0"/>
                <w:kern w:val="21"/>
                <w:sz w:val="24"/>
                <w:szCs w:val="24"/>
                <w:highlight w:val="none"/>
              </w:rPr>
            </w:pPr>
            <w:r>
              <w:rPr>
                <w:rFonts w:hint="eastAsia" w:ascii="方正仿宋_GBK" w:hAnsi="方正仿宋_GBK" w:eastAsia="方正仿宋_GBK" w:cs="方正仿宋_GBK"/>
                <w:b/>
                <w:bCs/>
                <w:spacing w:val="0"/>
                <w:kern w:val="21"/>
                <w:sz w:val="24"/>
                <w:szCs w:val="24"/>
                <w:highlight w:val="none"/>
              </w:rPr>
              <w:t>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135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炼焦</w:t>
            </w: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焦炉：装煤时间（实际）、推（出）焦时间（实际）、装煤和推（出）焦电流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干法熄焦：提升机作业记录（包括每次作业时间及装载量）、提升机电流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35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控制中心：荒煤气放散压力、点火器启动记录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135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煤气净化（化学产品深加工）</w:t>
            </w: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中控：硫酸使用量（若制硫铵）、洗油使用量、粗苯外送量、塔釜温度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煤气管网：压力（风机后）、外供煤气流量、气柜容量、气柜压力</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煤气放散火炬：水封液位高度、压力、流量、温度、火炬点火器启动记录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粗苯和焦油等储槽：液位、温度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35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加热炉燃烧温度，蒸馏塔塔顶塔底温度，装卸站台油气回收管线压力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1354" w:type="dxa"/>
            <w:vMerge w:val="restart"/>
            <w:tcBorders>
              <w:left w:val="single" w:color="000000" w:sz="6" w:space="0"/>
              <w:bottom w:val="nil"/>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治理设施</w:t>
            </w: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主要排放口、焦炉热备烟囱污染物排放浓度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除尘：除尘器风量、风机电流、电除尘器二次电压与二次电流、袋式除尘器压差、颗粒物排放浓度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脱硫：脱硫剂使用量、脱硫剂仓料（液）位、风机电流、二氧化硫排放浓度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脱硝：脱硝剂使用量、脱硝剂仓料（液）位、反应器入口烟气温度、风机电流、SCR脱硝升温系统风量及温度、氮氧化物排放浓度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VOCs废气应急排放口：流量、阀门开启记录；放散阀：阀门开启记录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54" w:type="dxa"/>
            <w:vMerge w:val="continue"/>
            <w:tcBorders>
              <w:top w:val="nil"/>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VOCs废气燃烧前处理设施：碱洗塔碱液使用量、酸洗塔酸液使用量、油洗塔洗油使用量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1354" w:type="dxa"/>
            <w:vMerge w:val="continue"/>
            <w:tcBorders>
              <w:top w:val="nil"/>
              <w:left w:val="single" w:color="000000" w:sz="6" w:space="0"/>
              <w:bottom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方正仿宋_GBK" w:hAnsi="方正仿宋_GBK" w:eastAsia="方正仿宋_GBK" w:cs="方正仿宋_GBK"/>
                <w:spacing w:val="0"/>
                <w:kern w:val="21"/>
                <w:sz w:val="24"/>
                <w:szCs w:val="24"/>
                <w:highlight w:val="none"/>
              </w:rPr>
            </w:pPr>
          </w:p>
        </w:tc>
        <w:tc>
          <w:tcPr>
            <w:tcW w:w="8185" w:type="dxa"/>
            <w:tcBorders>
              <w:bottom w:val="single" w:color="000000" w:sz="6" w:space="0"/>
              <w:right w:val="single" w:color="000000" w:sz="6" w:space="0"/>
            </w:tcBorders>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VOCs废气燃烧处理设施：废气流量、燃气/煤气流量、燃烧装置处理温度</w:t>
            </w:r>
          </w:p>
        </w:tc>
      </w:tr>
    </w:tbl>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574" w:firstLineChars="200"/>
        <w:jc w:val="both"/>
        <w:rPr>
          <w:rFonts w:hint="eastAsia" w:ascii="Times New Roman" w:hAnsi="Times New Roman" w:cs="Times New Roman"/>
          <w:i w:val="0"/>
          <w:iCs w:val="0"/>
          <w:caps w:val="0"/>
          <w:color w:val="333333"/>
          <w:spacing w:val="0"/>
          <w:kern w:val="21"/>
          <w:sz w:val="28"/>
          <w:szCs w:val="28"/>
          <w:highlight w:val="none"/>
          <w:shd w:val="clear" w:color="auto" w:fill="FFFFFF"/>
          <w:lang w:val="en-US" w:eastAsia="zh-CN"/>
        </w:rPr>
      </w:pPr>
    </w:p>
    <w:p>
      <w:pPr>
        <w:rPr>
          <w:highlight w:val="none"/>
        </w:rPr>
      </w:pP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firstLine="0" w:firstLineChars="0"/>
        <w:jc w:val="both"/>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pPr>
      <w:r>
        <w:rPr>
          <w:rFonts w:hint="eastAsia" w:ascii="方正黑体_GBK" w:hAnsi="方正黑体_GBK" w:eastAsia="方正黑体_GBK" w:cs="方正黑体_GBK"/>
          <w:i w:val="0"/>
          <w:iCs w:val="0"/>
          <w:caps w:val="0"/>
          <w:color w:val="333333"/>
          <w:spacing w:val="0"/>
          <w:kern w:val="21"/>
          <w:sz w:val="32"/>
          <w:szCs w:val="32"/>
          <w:highlight w:val="none"/>
          <w:shd w:val="clear" w:color="auto" w:fill="FFFFFF"/>
          <w:lang w:val="en-US" w:eastAsia="zh-CN"/>
        </w:rPr>
        <w:t>附件6</w:t>
      </w:r>
    </w:p>
    <w:p>
      <w:pPr>
        <w:pStyle w:val="7"/>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219" w:beforeLines="70" w:beforeAutospacing="0" w:after="157" w:afterLines="50" w:afterAutospacing="0" w:line="600" w:lineRule="exact"/>
        <w:ind w:right="0" w:firstLine="0" w:firstLineChars="0"/>
        <w:jc w:val="cente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pPr>
      <w:r>
        <w:rPr>
          <w:rFonts w:hint="eastAsia" w:ascii="方正小标宋_GBK" w:hAnsi="方正小标宋_GBK" w:eastAsia="方正小标宋_GBK" w:cs="方正小标宋_GBK"/>
          <w:i w:val="0"/>
          <w:iCs w:val="0"/>
          <w:caps w:val="0"/>
          <w:color w:val="333333"/>
          <w:spacing w:val="0"/>
          <w:kern w:val="21"/>
          <w:sz w:val="40"/>
          <w:szCs w:val="40"/>
          <w:highlight w:val="none"/>
          <w:shd w:val="clear" w:color="auto" w:fill="FFFFFF"/>
          <w:lang w:val="en-US" w:eastAsia="zh-CN"/>
        </w:rPr>
        <w:t>清洁运输管理要求</w:t>
      </w:r>
    </w:p>
    <w:tbl>
      <w:tblPr>
        <w:tblStyle w:val="13"/>
        <w:tblW w:w="896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3626"/>
        <w:gridCol w:w="38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526" w:type="dxa"/>
            <w:tcBorders>
              <w:top w:val="single" w:color="000000" w:sz="6" w:space="0"/>
              <w:left w:val="single" w:color="000000" w:sz="6" w:space="0"/>
            </w:tcBorders>
            <w:noWrap w:val="0"/>
            <w:vAlign w:val="center"/>
          </w:tcPr>
          <w:p>
            <w:pPr>
              <w:adjustRightInd w:val="0"/>
              <w:snapToGrid w:val="0"/>
              <w:spacing w:before="0" w:line="240" w:lineRule="auto"/>
              <w:ind w:left="0" w:firstLine="0" w:firstLineChars="0"/>
              <w:jc w:val="center"/>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分类</w:t>
            </w:r>
          </w:p>
        </w:tc>
        <w:tc>
          <w:tcPr>
            <w:tcW w:w="3626" w:type="dxa"/>
            <w:tcBorders>
              <w:top w:val="single" w:color="000000" w:sz="6" w:space="0"/>
            </w:tcBorders>
            <w:noWrap w:val="0"/>
            <w:vAlign w:val="center"/>
          </w:tcPr>
          <w:p>
            <w:pPr>
              <w:adjustRightInd w:val="0"/>
              <w:snapToGrid w:val="0"/>
              <w:spacing w:before="0" w:line="240" w:lineRule="auto"/>
              <w:ind w:left="0" w:firstLine="0" w:firstLineChars="0"/>
              <w:jc w:val="center"/>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措施</w:t>
            </w:r>
          </w:p>
        </w:tc>
        <w:tc>
          <w:tcPr>
            <w:tcW w:w="3808" w:type="dxa"/>
            <w:tcBorders>
              <w:top w:val="single" w:color="000000" w:sz="6" w:space="0"/>
              <w:right w:val="single" w:color="000000" w:sz="6" w:space="0"/>
            </w:tcBorders>
            <w:noWrap w:val="0"/>
            <w:vAlign w:val="center"/>
          </w:tcPr>
          <w:p>
            <w:pPr>
              <w:adjustRightInd w:val="0"/>
              <w:snapToGrid w:val="0"/>
              <w:spacing w:before="0" w:line="240" w:lineRule="auto"/>
              <w:ind w:left="0" w:firstLine="0" w:firstLineChars="0"/>
              <w:jc w:val="center"/>
              <w:rPr>
                <w:rFonts w:hint="eastAsia" w:ascii="方正仿宋_GBK" w:hAnsi="方正仿宋_GBK" w:eastAsia="方正仿宋_GBK" w:cs="方正仿宋_GBK"/>
                <w:b/>
                <w:bCs/>
                <w:kern w:val="21"/>
                <w:sz w:val="24"/>
                <w:szCs w:val="24"/>
                <w:highlight w:val="none"/>
              </w:rPr>
            </w:pPr>
            <w:r>
              <w:rPr>
                <w:rFonts w:hint="eastAsia" w:ascii="方正仿宋_GBK" w:hAnsi="方正仿宋_GBK" w:eastAsia="方正仿宋_GBK" w:cs="方正仿宋_GBK"/>
                <w:b/>
                <w:bCs/>
                <w:spacing w:val="0"/>
                <w:kern w:val="21"/>
                <w:sz w:val="24"/>
                <w:szCs w:val="24"/>
                <w:highlight w:val="none"/>
              </w:rPr>
              <w:t>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3" w:hRule="atLeast"/>
        </w:trPr>
        <w:tc>
          <w:tcPr>
            <w:tcW w:w="1526" w:type="dxa"/>
            <w:tcBorders>
              <w:left w:val="single" w:color="000000" w:sz="6" w:space="0"/>
            </w:tcBorders>
            <w:noWrap w:val="0"/>
            <w:vAlign w:val="center"/>
          </w:tcPr>
          <w:p>
            <w:pPr>
              <w:pStyle w:val="14"/>
              <w:adjustRightInd w:val="0"/>
              <w:snapToGrid w:val="0"/>
              <w:spacing w:before="0" w:line="240" w:lineRule="auto"/>
              <w:ind w:left="0" w:leftChars="0" w:righ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门禁及视频监控系统</w:t>
            </w:r>
          </w:p>
        </w:tc>
        <w:tc>
          <w:tcPr>
            <w:tcW w:w="3626" w:type="dxa"/>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覆盖原辅材料、燃料、产品及副产品等运输车辆进出厂区的出入口，对进出车辆进行照片及视频的采集、校验，实施进出厂管理，并对采集的数据进行统计和储存，与生态环境部门联网，实现对运输车辆和非道路移动机械使用情况实时监管。建立运输车辆基本信息电子台账，并对进出厂车辆实施自动记录，实时保存、更新和上传。运输车辆基本信息电子台账保存周期不少于5年，车辆进出厂历史记录保存周期不少于24个月，视频保存周期不少于12个月。</w:t>
            </w:r>
          </w:p>
        </w:tc>
        <w:tc>
          <w:tcPr>
            <w:tcW w:w="3808" w:type="dxa"/>
            <w:tcBorders>
              <w:right w:val="single" w:color="000000" w:sz="6" w:space="0"/>
            </w:tcBorders>
            <w:noWrap w:val="0"/>
            <w:vAlign w:val="center"/>
          </w:tcPr>
          <w:p>
            <w:pPr>
              <w:adjustRightInd w:val="0"/>
              <w:snapToGrid w:val="0"/>
              <w:spacing w:line="240" w:lineRule="auto"/>
              <w:ind w:firstLine="0" w:firstLineChars="0"/>
              <w:jc w:val="left"/>
              <w:rPr>
                <w:rFonts w:hint="eastAsia" w:ascii="方正仿宋_GBK" w:hAnsi="方正仿宋_GBK" w:eastAsia="方正仿宋_GBK" w:cs="方正仿宋_GBK"/>
                <w:kern w:val="21"/>
                <w:sz w:val="24"/>
                <w:szCs w:val="24"/>
                <w:highlight w:val="none"/>
              </w:rPr>
            </w:pPr>
          </w:p>
          <w:p>
            <w:pPr>
              <w:adjustRightInd w:val="0"/>
              <w:snapToGrid w:val="0"/>
              <w:spacing w:line="240" w:lineRule="auto"/>
              <w:ind w:firstLine="0" w:firstLineChars="0"/>
              <w:jc w:val="left"/>
              <w:rPr>
                <w:rFonts w:hint="eastAsia" w:ascii="方正仿宋_GBK" w:hAnsi="方正仿宋_GBK" w:eastAsia="方正仿宋_GBK" w:cs="方正仿宋_GBK"/>
                <w:kern w:val="21"/>
                <w:sz w:val="24"/>
                <w:szCs w:val="24"/>
                <w:highlight w:val="none"/>
              </w:rPr>
            </w:pPr>
          </w:p>
          <w:p>
            <w:pPr>
              <w:pStyle w:val="14"/>
              <w:adjustRightInd w:val="0"/>
              <w:snapToGrid w:val="0"/>
              <w:spacing w:before="0" w:line="240" w:lineRule="auto"/>
              <w:ind w:lef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电子台账主要参数：出入口编号、道闸编号、进出厂状态、进厂时间/出厂时间、进厂照片/出厂照片、车牌号码、号牌颜色、车辆类型、车辆识别代码（VIN）、注册登记日期、车辆型号、发动机型号、发动机生产厂、发动机编号、燃料类型、排放标准、使用性质、联网状态、随车清单、行驶证、运输货物名称、运输量、车队名称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5" w:hRule="atLeast"/>
        </w:trPr>
        <w:tc>
          <w:tcPr>
            <w:tcW w:w="1526" w:type="dxa"/>
            <w:tcBorders>
              <w:left w:val="single" w:color="000000" w:sz="6" w:space="0"/>
            </w:tcBorders>
            <w:noWrap w:val="0"/>
            <w:vAlign w:val="center"/>
          </w:tcPr>
          <w:p>
            <w:pPr>
              <w:pStyle w:val="14"/>
              <w:adjustRightInd w:val="0"/>
              <w:snapToGrid w:val="0"/>
              <w:spacing w:before="0" w:line="240" w:lineRule="auto"/>
              <w:ind w:left="0" w:righ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厂内运输车辆电子台账</w:t>
            </w:r>
          </w:p>
        </w:tc>
        <w:tc>
          <w:tcPr>
            <w:tcW w:w="3626" w:type="dxa"/>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对厂内运输车辆实施信息登记管理，并实时更新上传，本地历史记录保存周期不少于5年。</w:t>
            </w:r>
          </w:p>
        </w:tc>
        <w:tc>
          <w:tcPr>
            <w:tcW w:w="3808" w:type="dxa"/>
            <w:tcBorders>
              <w:right w:val="single" w:color="000000" w:sz="6" w:space="0"/>
            </w:tcBorders>
            <w:noWrap w:val="0"/>
            <w:vAlign w:val="center"/>
          </w:tcPr>
          <w:p>
            <w:pPr>
              <w:pStyle w:val="14"/>
              <w:adjustRightInd w:val="0"/>
              <w:snapToGrid w:val="0"/>
              <w:spacing w:before="0" w:line="240" w:lineRule="auto"/>
              <w:ind w:lef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环保登记编码、车辆识别代码（VIN）、生产日期、车牌号码、注册登记日期、车辆型号、发动机型号、发动机生产厂、发动机编号、燃料类型、排放标准、随车清单、行驶证、车辆所有人（单位）等。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1526" w:type="dxa"/>
            <w:tcBorders>
              <w:left w:val="single" w:color="000000" w:sz="6" w:space="0"/>
              <w:bottom w:val="single" w:color="000000" w:sz="6" w:space="0"/>
            </w:tcBorders>
            <w:noWrap w:val="0"/>
            <w:vAlign w:val="center"/>
          </w:tcPr>
          <w:p>
            <w:pPr>
              <w:pStyle w:val="14"/>
              <w:adjustRightInd w:val="0"/>
              <w:snapToGrid w:val="0"/>
              <w:spacing w:before="0" w:line="240" w:lineRule="auto"/>
              <w:ind w:lef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非道路</w:t>
            </w:r>
          </w:p>
          <w:p>
            <w:pPr>
              <w:pStyle w:val="14"/>
              <w:adjustRightInd w:val="0"/>
              <w:snapToGrid w:val="0"/>
              <w:spacing w:before="0" w:line="240" w:lineRule="auto"/>
              <w:ind w:lef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移动机械电</w:t>
            </w:r>
          </w:p>
          <w:p>
            <w:pPr>
              <w:pStyle w:val="14"/>
              <w:adjustRightInd w:val="0"/>
              <w:snapToGrid w:val="0"/>
              <w:spacing w:before="0" w:line="240" w:lineRule="auto"/>
              <w:ind w:left="0" w:firstLine="0" w:firstLineChars="0"/>
              <w:jc w:val="center"/>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子台账</w:t>
            </w:r>
          </w:p>
        </w:tc>
        <w:tc>
          <w:tcPr>
            <w:tcW w:w="3626" w:type="dxa"/>
            <w:tcBorders>
              <w:bottom w:val="single" w:color="000000" w:sz="6" w:space="0"/>
            </w:tcBorders>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对非道路移动机械实施信息登记管理，并实时更新上传，本地历史记录保存周期不少于5年。</w:t>
            </w:r>
          </w:p>
        </w:tc>
        <w:tc>
          <w:tcPr>
            <w:tcW w:w="3808" w:type="dxa"/>
            <w:tcBorders>
              <w:bottom w:val="single" w:color="000000" w:sz="6" w:space="0"/>
              <w:right w:val="single" w:color="000000" w:sz="6" w:space="0"/>
            </w:tcBorders>
            <w:noWrap w:val="0"/>
            <w:vAlign w:val="center"/>
          </w:tcPr>
          <w:p>
            <w:pPr>
              <w:pStyle w:val="14"/>
              <w:adjustRightInd w:val="0"/>
              <w:snapToGrid w:val="0"/>
              <w:spacing w:before="0" w:line="240" w:lineRule="auto"/>
              <w:ind w:left="0" w:right="0" w:firstLine="0" w:firstLineChars="0"/>
              <w:jc w:val="left"/>
              <w:rPr>
                <w:rFonts w:hint="eastAsia" w:ascii="方正仿宋_GBK" w:hAnsi="方正仿宋_GBK" w:eastAsia="方正仿宋_GBK" w:cs="方正仿宋_GBK"/>
                <w:kern w:val="21"/>
                <w:sz w:val="24"/>
                <w:szCs w:val="24"/>
                <w:highlight w:val="none"/>
              </w:rPr>
            </w:pPr>
            <w:r>
              <w:rPr>
                <w:rFonts w:hint="eastAsia" w:ascii="方正仿宋_GBK" w:hAnsi="方正仿宋_GBK" w:eastAsia="方正仿宋_GBK" w:cs="方正仿宋_GBK"/>
                <w:spacing w:val="0"/>
                <w:kern w:val="21"/>
                <w:sz w:val="24"/>
                <w:szCs w:val="24"/>
                <w:highlight w:val="none"/>
              </w:rPr>
              <w:t>环保登记编码、机械生产日期、车牌号码、排放标准、燃料类型、机械种类、机械环保代码/产品识别码（PIN）、机械型号、发动机型号、发动机生产厂、发动机编号、整车（机）铭牌、发动机铭牌、机械环保标签、所属人（单位）等。</w:t>
            </w:r>
          </w:p>
        </w:tc>
      </w:tr>
    </w:tbl>
    <w:p>
      <w:pPr>
        <w:keepNext w:val="0"/>
        <w:keepLines w:val="0"/>
        <w:pageBreakBefore w:val="0"/>
        <w:widowControl w:val="0"/>
        <w:kinsoku/>
        <w:wordWrap/>
        <w:overflowPunct/>
        <w:topLinePunct w:val="0"/>
        <w:autoSpaceDE/>
        <w:autoSpaceDN/>
        <w:bidi w:val="0"/>
        <w:adjustRightInd w:val="0"/>
        <w:snapToGrid w:val="0"/>
        <w:spacing w:before="0" w:line="400" w:lineRule="exact"/>
        <w:ind w:left="0" w:right="0" w:firstLine="494" w:firstLineChars="200"/>
        <w:textAlignment w:val="auto"/>
        <w:rPr>
          <w:rFonts w:hint="eastAsia" w:ascii="方正仿宋_GBK" w:hAnsi="方正仿宋_GBK" w:eastAsia="方正仿宋_GBK" w:cs="方正仿宋_GBK"/>
          <w:spacing w:val="0"/>
          <w:kern w:val="21"/>
          <w:sz w:val="24"/>
          <w:szCs w:val="24"/>
          <w:highlight w:val="none"/>
        </w:rPr>
      </w:pPr>
      <w:r>
        <w:rPr>
          <w:rFonts w:hint="eastAsia" w:ascii="方正仿宋_GBK" w:hAnsi="方正仿宋_GBK" w:eastAsia="方正仿宋_GBK" w:cs="方正仿宋_GBK"/>
          <w:spacing w:val="0"/>
          <w:kern w:val="21"/>
          <w:sz w:val="24"/>
          <w:szCs w:val="24"/>
          <w:highlight w:val="none"/>
        </w:rPr>
        <w:t>注：新能源汽车是指采用新型动力系统，完全或主要依靠新型能源驱动的汽车，主要包括纯电动汽车、插电式混合动力汽车及燃料电池汽车。</w:t>
      </w:r>
    </w:p>
    <w:p>
      <w:pPr>
        <w:pStyle w:val="2"/>
        <w:rPr>
          <w:rFonts w:hint="eastAsia" w:ascii="方正仿宋_GBK" w:hAnsi="方正仿宋_GBK" w:eastAsia="方正仿宋_GBK" w:cs="方正仿宋_GBK"/>
          <w:spacing w:val="0"/>
          <w:kern w:val="21"/>
          <w:sz w:val="24"/>
          <w:szCs w:val="24"/>
          <w:highlight w:val="none"/>
        </w:rPr>
      </w:pPr>
    </w:p>
    <w:p>
      <w:pPr>
        <w:pStyle w:val="3"/>
        <w:rPr>
          <w:rFonts w:hint="eastAsia"/>
          <w:highlight w:val="none"/>
          <w:lang w:val="en-US" w:eastAsia="zh-CN"/>
        </w:rPr>
      </w:pPr>
    </w:p>
    <w:p>
      <w:pPr>
        <w:snapToGrid w:val="0"/>
        <w:spacing w:line="580" w:lineRule="exact"/>
        <w:jc w:val="center"/>
        <w:rPr>
          <w:rFonts w:ascii="仿宋_GB2312" w:hAnsi="仿宋"/>
          <w:szCs w:val="32"/>
          <w:highlight w:val="none"/>
        </w:rPr>
      </w:pPr>
    </w:p>
    <w:p>
      <w:pPr>
        <w:snapToGrid w:val="0"/>
        <w:spacing w:line="580" w:lineRule="exact"/>
        <w:rPr>
          <w:rFonts w:ascii="仿宋_GB2312" w:hAnsi="仿宋"/>
          <w:szCs w:val="32"/>
          <w:highlight w:val="none"/>
        </w:rPr>
      </w:pPr>
    </w:p>
    <w:p>
      <w:pPr>
        <w:snapToGrid w:val="0"/>
        <w:spacing w:line="580" w:lineRule="exact"/>
        <w:rPr>
          <w:rFonts w:ascii="仿宋_GB2312" w:hAnsi="仿宋"/>
          <w:szCs w:val="32"/>
          <w:highlight w:val="none"/>
        </w:rPr>
      </w:pPr>
    </w:p>
    <w:p>
      <w:pPr>
        <w:snapToGrid w:val="0"/>
        <w:spacing w:line="20" w:lineRule="exact"/>
        <w:rPr>
          <w:rFonts w:ascii="仿宋_GB2312" w:hAnsi="仿宋"/>
          <w:szCs w:val="32"/>
          <w:highlight w:val="none"/>
        </w:rPr>
      </w:pPr>
    </w:p>
    <w:p>
      <w:pPr>
        <w:snapToGrid w:val="0"/>
        <w:spacing w:line="580" w:lineRule="exact"/>
        <w:jc w:val="center"/>
        <w:rPr>
          <w:rFonts w:ascii="仿宋_GB2312" w:hAnsi="仿宋"/>
          <w:szCs w:val="32"/>
          <w:highlight w:val="none"/>
        </w:rPr>
      </w:pPr>
    </w:p>
    <w:p>
      <w:pPr>
        <w:snapToGrid w:val="0"/>
        <w:spacing w:line="580" w:lineRule="exact"/>
        <w:rPr>
          <w:rFonts w:ascii="仿宋_GB2312" w:hAnsi="仿宋"/>
          <w:szCs w:val="32"/>
          <w:highlight w:val="none"/>
        </w:rPr>
      </w:pPr>
    </w:p>
    <w:p>
      <w:pPr>
        <w:snapToGrid w:val="0"/>
        <w:spacing w:line="580" w:lineRule="exact"/>
        <w:rPr>
          <w:rFonts w:ascii="仿宋_GB2312" w:hAnsi="仿宋"/>
          <w:szCs w:val="32"/>
          <w:highlight w:val="none"/>
        </w:rPr>
      </w:pPr>
    </w:p>
    <w:p>
      <w:pPr>
        <w:snapToGrid w:val="0"/>
        <w:spacing w:line="20" w:lineRule="exact"/>
        <w:rPr>
          <w:rFonts w:ascii="仿宋_GB2312" w:hAnsi="仿宋"/>
          <w:szCs w:val="32"/>
          <w:highlight w:val="none"/>
        </w:rPr>
      </w:pPr>
    </w:p>
    <w:p>
      <w:pPr>
        <w:snapToGrid w:val="0"/>
        <w:spacing w:line="580" w:lineRule="exact"/>
        <w:jc w:val="center"/>
        <w:rPr>
          <w:rFonts w:ascii="仿宋_GB2312" w:hAnsi="仿宋"/>
          <w:szCs w:val="32"/>
          <w:highlight w:val="none"/>
        </w:rPr>
      </w:pPr>
    </w:p>
    <w:p>
      <w:pPr>
        <w:snapToGrid w:val="0"/>
        <w:spacing w:line="580" w:lineRule="exact"/>
        <w:rPr>
          <w:rFonts w:ascii="仿宋_GB2312" w:hAnsi="仿宋"/>
          <w:szCs w:val="32"/>
          <w:highlight w:val="none"/>
        </w:rPr>
      </w:pPr>
    </w:p>
    <w:p>
      <w:pPr>
        <w:snapToGrid w:val="0"/>
        <w:spacing w:line="580" w:lineRule="exact"/>
        <w:rPr>
          <w:rFonts w:ascii="仿宋_GB2312" w:hAnsi="仿宋"/>
          <w:szCs w:val="32"/>
          <w:highlight w:val="none"/>
        </w:rPr>
      </w:pPr>
    </w:p>
    <w:p>
      <w:pPr>
        <w:pStyle w:val="2"/>
        <w:rPr>
          <w:rFonts w:ascii="仿宋_GB2312" w:hAnsi="仿宋"/>
          <w:szCs w:val="32"/>
          <w:highlight w:val="none"/>
        </w:rPr>
      </w:pPr>
    </w:p>
    <w:p>
      <w:pPr>
        <w:pStyle w:val="3"/>
        <w:rPr>
          <w:rFonts w:ascii="仿宋_GB2312" w:hAnsi="仿宋"/>
          <w:szCs w:val="32"/>
          <w:highlight w:val="none"/>
        </w:rPr>
      </w:pPr>
    </w:p>
    <w:p>
      <w:pPr>
        <w:rPr>
          <w:rFonts w:ascii="仿宋_GB2312" w:hAnsi="仿宋"/>
          <w:szCs w:val="32"/>
          <w:highlight w:val="none"/>
        </w:rPr>
      </w:pPr>
    </w:p>
    <w:p>
      <w:pPr>
        <w:pStyle w:val="2"/>
        <w:rPr>
          <w:rFonts w:ascii="仿宋_GB2312" w:hAnsi="仿宋"/>
          <w:szCs w:val="32"/>
          <w:highlight w:val="none"/>
        </w:rPr>
      </w:pPr>
    </w:p>
    <w:p>
      <w:pPr>
        <w:pStyle w:val="3"/>
        <w:rPr>
          <w:rFonts w:ascii="仿宋_GB2312" w:hAnsi="仿宋"/>
          <w:szCs w:val="32"/>
          <w:highlight w:val="none"/>
        </w:rPr>
      </w:pPr>
    </w:p>
    <w:p>
      <w:pPr>
        <w:rPr>
          <w:rFonts w:ascii="仿宋_GB2312" w:hAnsi="仿宋"/>
          <w:szCs w:val="32"/>
          <w:highlight w:val="none"/>
        </w:rPr>
      </w:pPr>
    </w:p>
    <w:p>
      <w:pPr>
        <w:pStyle w:val="2"/>
        <w:rPr>
          <w:rFonts w:ascii="仿宋_GB2312" w:hAnsi="仿宋"/>
          <w:szCs w:val="32"/>
          <w:highlight w:val="none"/>
        </w:rPr>
      </w:pPr>
    </w:p>
    <w:p>
      <w:pPr>
        <w:pStyle w:val="3"/>
        <w:rPr>
          <w:rFonts w:ascii="仿宋_GB2312" w:hAnsi="仿宋"/>
          <w:szCs w:val="32"/>
          <w:highlight w:val="none"/>
        </w:rPr>
      </w:pPr>
    </w:p>
    <w:p>
      <w:pPr>
        <w:rPr>
          <w:rFonts w:ascii="仿宋_GB2312" w:hAnsi="仿宋"/>
          <w:szCs w:val="32"/>
          <w:highlight w:val="none"/>
        </w:rPr>
      </w:pPr>
    </w:p>
    <w:p>
      <w:pPr>
        <w:pStyle w:val="2"/>
        <w:rPr>
          <w:rFonts w:ascii="仿宋_GB2312" w:hAnsi="仿宋"/>
          <w:szCs w:val="32"/>
          <w:highlight w:val="none"/>
        </w:rPr>
      </w:pPr>
    </w:p>
    <w:tbl>
      <w:tblPr>
        <w:tblStyle w:val="9"/>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pPr>
              <w:snapToGrid w:val="0"/>
              <w:ind w:left="196" w:leftChars="6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湖南省生态环境厅办公室</w:t>
            </w:r>
          </w:p>
        </w:tc>
        <w:tc>
          <w:tcPr>
            <w:tcW w:w="3333" w:type="dxa"/>
            <w:vAlign w:val="center"/>
          </w:tcPr>
          <w:p>
            <w:pPr>
              <w:snapToGrid w:val="0"/>
              <w:ind w:right="163" w:rightChars="50"/>
              <w:jc w:val="righ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
              </w:rPr>
              <w:t>2024年</w:t>
            </w:r>
            <w:r>
              <w:rPr>
                <w:rFonts w:hint="eastAsia" w:ascii="方正仿宋_GBK" w:hAnsi="方正仿宋_GBK" w:eastAsia="方正仿宋_GBK" w:cs="方正仿宋_GBK"/>
                <w:sz w:val="28"/>
                <w:szCs w:val="28"/>
                <w:highlight w:val="none"/>
                <w:lang w:val="en-US" w:eastAsia="zh-CN"/>
              </w:rPr>
              <w:t>8</w:t>
            </w:r>
            <w:r>
              <w:rPr>
                <w:rFonts w:hint="eastAsia" w:ascii="方正仿宋_GBK" w:hAnsi="方正仿宋_GBK" w:eastAsia="方正仿宋_GBK" w:cs="方正仿宋_GBK"/>
                <w:sz w:val="28"/>
                <w:szCs w:val="28"/>
                <w:highlight w:val="none"/>
                <w:lang w:val="en"/>
              </w:rPr>
              <w:t>月</w:t>
            </w: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lang w:val="en"/>
              </w:rPr>
              <w:t>日</w:t>
            </w:r>
            <w:r>
              <w:rPr>
                <w:rFonts w:hint="eastAsia" w:ascii="方正仿宋_GBK" w:hAnsi="方正仿宋_GBK" w:eastAsia="方正仿宋_GBK" w:cs="方正仿宋_GBK"/>
                <w:sz w:val="28"/>
                <w:szCs w:val="28"/>
                <w:highlight w:val="none"/>
              </w:rPr>
              <w:t>印发　</w:t>
            </w:r>
          </w:p>
        </w:tc>
      </w:tr>
    </w:tbl>
    <w:p>
      <w:pPr>
        <w:snapToGrid w:val="0"/>
        <w:spacing w:line="20" w:lineRule="exact"/>
        <w:rPr>
          <w:rFonts w:ascii="仿宋_GB2312" w:hAnsi="仿宋"/>
          <w:szCs w:val="32"/>
          <w:highlight w:val="none"/>
        </w:rPr>
      </w:pPr>
    </w:p>
    <w:sectPr>
      <w:pgSz w:w="11906" w:h="16838"/>
      <w:pgMar w:top="1440" w:right="1474" w:bottom="1440" w:left="1587" w:header="851" w:footer="1247" w:gutter="0"/>
      <w:pgNumType w:fmt="numberInDash"/>
      <w:cols w:space="0" w:num="1"/>
      <w:titlePg/>
      <w:rtlGutter w:val="0"/>
      <w:docGrid w:type="linesAndChars" w:linePitch="593"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8EC941-7173-482B-A813-21CC6B61E2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DB3527-FC07-4020-BA94-A4D24DDB55D1}"/>
  </w:font>
  <w:font w:name="仿宋_GB2312">
    <w:panose1 w:val="02010609030101010101"/>
    <w:charset w:val="86"/>
    <w:family w:val="modern"/>
    <w:pitch w:val="default"/>
    <w:sig w:usb0="00000001" w:usb1="080E0000" w:usb2="00000000" w:usb3="00000000" w:csb0="00040000" w:csb1="00000000"/>
    <w:embedRegular r:id="rId3" w:fontKey="{3033C099-79DB-4CF3-8ADD-970405F4C21A}"/>
  </w:font>
  <w:font w:name="仿宋">
    <w:panose1 w:val="02010609060101010101"/>
    <w:charset w:val="86"/>
    <w:family w:val="modern"/>
    <w:pitch w:val="default"/>
    <w:sig w:usb0="800002BF" w:usb1="38CF7CFA" w:usb2="00000016" w:usb3="00000000" w:csb0="00040001" w:csb1="00000000"/>
    <w:embedRegular r:id="rId4" w:fontKey="{10B2138A-8505-4010-862E-3CF1C33C5C19}"/>
  </w:font>
  <w:font w:name="方正黑体_GBK">
    <w:panose1 w:val="02010600010101010101"/>
    <w:charset w:val="86"/>
    <w:family w:val="auto"/>
    <w:pitch w:val="default"/>
    <w:sig w:usb0="00000001" w:usb1="080E0000" w:usb2="00000000" w:usb3="00000000" w:csb0="00040000" w:csb1="00000000"/>
    <w:embedRegular r:id="rId5" w:fontKey="{182A5A15-EB96-4D3A-8193-CDB9D6359402}"/>
  </w:font>
  <w:font w:name="方正仿宋_GBK">
    <w:panose1 w:val="02000000000000000000"/>
    <w:charset w:val="86"/>
    <w:family w:val="script"/>
    <w:pitch w:val="default"/>
    <w:sig w:usb0="A00002BF" w:usb1="38CF7CFA" w:usb2="00082016" w:usb3="00000000" w:csb0="00040001" w:csb1="00000000"/>
    <w:embedRegular r:id="rId6" w:fontKey="{4ABF972A-0848-4316-80FF-F6D1B816A8C0}"/>
  </w:font>
  <w:font w:name="方正小标宋_GBK">
    <w:panose1 w:val="02000000000000000000"/>
    <w:charset w:val="86"/>
    <w:family w:val="script"/>
    <w:pitch w:val="default"/>
    <w:sig w:usb0="A00002BF" w:usb1="38CF7CFA" w:usb2="00082016" w:usb3="00000000" w:csb0="00040001" w:csb1="00000000"/>
    <w:embedRegular r:id="rId7" w:fontKey="{B7A1A789-EF7A-4AF0-9F53-C67F805EAA69}"/>
  </w:font>
  <w:font w:name="方正楷体_GBK">
    <w:panose1 w:val="02000000000000000000"/>
    <w:charset w:val="86"/>
    <w:family w:val="auto"/>
    <w:pitch w:val="default"/>
    <w:sig w:usb0="800002BF" w:usb1="38CF7CFA" w:usb2="00000016" w:usb3="00000000" w:csb0="00040000" w:csb1="00000000"/>
    <w:embedRegular r:id="rId8" w:fontKey="{E926A7A9-B3DE-4865-9CC5-3C6BBD1BA952}"/>
  </w:font>
  <w:font w:name="微软雅黑">
    <w:panose1 w:val="020B0503020204020204"/>
    <w:charset w:val="86"/>
    <w:family w:val="auto"/>
    <w:pitch w:val="default"/>
    <w:sig w:usb0="80000287" w:usb1="2ACF3C50" w:usb2="00000016" w:usb3="00000000" w:csb0="0004001F" w:csb1="00000000"/>
    <w:embedRegular r:id="rId9" w:fontKey="{45FB04D9-3C39-46A2-839E-E34C839272CE}"/>
  </w:font>
  <w:font w:name="方正锐正黑_GBK 中">
    <w:panose1 w:val="02010600010101010101"/>
    <w:charset w:val="86"/>
    <w:family w:val="auto"/>
    <w:pitch w:val="default"/>
    <w:sig w:usb0="A00002BF" w:usb1="38CF7CFA" w:usb2="00000016" w:usb3="00000000" w:csb0="00040001" w:csb1="00000000"/>
    <w:embedRegular r:id="rId10" w:fontKey="{4B003547-FCEC-4498-B299-A930F6B5C2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v:textbox>
            </v:shape>
          </w:pict>
        </mc:Fallback>
      </mc:AlternateContent>
    </w:r>
  </w:p>
  <w:p>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3C820"/>
    <w:multiLevelType w:val="singleLevel"/>
    <w:tmpl w:val="FC93C8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dit="forms" w:enforcement="0"/>
  <w:defaultTabStop w:val="420"/>
  <w:evenAndOddHeaders w:val="1"/>
  <w:drawingGridHorizontalSpacing w:val="164"/>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 w:name="KSO_WPS_MARK_KEY" w:val="911efe73-be3a-4e00-b7e4-842c03b83a5f"/>
  </w:docVars>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3446CD"/>
    <w:rsid w:val="00373200"/>
    <w:rsid w:val="003D2BCA"/>
    <w:rsid w:val="00403FB2"/>
    <w:rsid w:val="00484426"/>
    <w:rsid w:val="00492FDA"/>
    <w:rsid w:val="004D3876"/>
    <w:rsid w:val="004D5D3C"/>
    <w:rsid w:val="00501A0E"/>
    <w:rsid w:val="00571B2A"/>
    <w:rsid w:val="00657C25"/>
    <w:rsid w:val="007075FE"/>
    <w:rsid w:val="00730B1E"/>
    <w:rsid w:val="00734B0F"/>
    <w:rsid w:val="00761658"/>
    <w:rsid w:val="007B7940"/>
    <w:rsid w:val="007C2CFD"/>
    <w:rsid w:val="007D13D3"/>
    <w:rsid w:val="00836C62"/>
    <w:rsid w:val="008522D8"/>
    <w:rsid w:val="008B4592"/>
    <w:rsid w:val="008E3216"/>
    <w:rsid w:val="00900940"/>
    <w:rsid w:val="009703CE"/>
    <w:rsid w:val="009A7B6B"/>
    <w:rsid w:val="00A13100"/>
    <w:rsid w:val="00A73BC4"/>
    <w:rsid w:val="00A85E0A"/>
    <w:rsid w:val="00A93BCE"/>
    <w:rsid w:val="00AD7F40"/>
    <w:rsid w:val="00B1490E"/>
    <w:rsid w:val="00B926BF"/>
    <w:rsid w:val="00B948FB"/>
    <w:rsid w:val="00BA6C55"/>
    <w:rsid w:val="00BB42F4"/>
    <w:rsid w:val="00BB4E17"/>
    <w:rsid w:val="00C5168F"/>
    <w:rsid w:val="00C925DD"/>
    <w:rsid w:val="00CA567D"/>
    <w:rsid w:val="00CD25F6"/>
    <w:rsid w:val="00D47D1F"/>
    <w:rsid w:val="00D51D33"/>
    <w:rsid w:val="00D7681B"/>
    <w:rsid w:val="00D95457"/>
    <w:rsid w:val="00EC3822"/>
    <w:rsid w:val="00EE61B5"/>
    <w:rsid w:val="00F03766"/>
    <w:rsid w:val="00F0685D"/>
    <w:rsid w:val="00F42F7C"/>
    <w:rsid w:val="00F64505"/>
    <w:rsid w:val="00F730E5"/>
    <w:rsid w:val="039A1E78"/>
    <w:rsid w:val="0A374116"/>
    <w:rsid w:val="0B5D5B62"/>
    <w:rsid w:val="12CBF000"/>
    <w:rsid w:val="15D867D2"/>
    <w:rsid w:val="18655D6B"/>
    <w:rsid w:val="19B5C266"/>
    <w:rsid w:val="19C454FF"/>
    <w:rsid w:val="1BDF35A7"/>
    <w:rsid w:val="1F5F978C"/>
    <w:rsid w:val="1FA9AFE5"/>
    <w:rsid w:val="203E1754"/>
    <w:rsid w:val="20B47E17"/>
    <w:rsid w:val="20E92D95"/>
    <w:rsid w:val="2FFD4352"/>
    <w:rsid w:val="38AD6EDB"/>
    <w:rsid w:val="3EA341B2"/>
    <w:rsid w:val="3EA9AB06"/>
    <w:rsid w:val="3EBE919D"/>
    <w:rsid w:val="3F37B181"/>
    <w:rsid w:val="3F3EE1A6"/>
    <w:rsid w:val="3F676B67"/>
    <w:rsid w:val="3FE67278"/>
    <w:rsid w:val="41FDF74E"/>
    <w:rsid w:val="42306E93"/>
    <w:rsid w:val="48F32F3B"/>
    <w:rsid w:val="4CBFA238"/>
    <w:rsid w:val="53964FD7"/>
    <w:rsid w:val="5BFFEF38"/>
    <w:rsid w:val="5C9757F6"/>
    <w:rsid w:val="5D0FE3E2"/>
    <w:rsid w:val="5D1B5003"/>
    <w:rsid w:val="5D26601F"/>
    <w:rsid w:val="5D7D48F2"/>
    <w:rsid w:val="5ED7937D"/>
    <w:rsid w:val="5FC34783"/>
    <w:rsid w:val="63AE011A"/>
    <w:rsid w:val="651E4E2C"/>
    <w:rsid w:val="6BFC7562"/>
    <w:rsid w:val="6C1B3F4D"/>
    <w:rsid w:val="6EAB8E73"/>
    <w:rsid w:val="6FBF4127"/>
    <w:rsid w:val="73BFF415"/>
    <w:rsid w:val="73FEDEE2"/>
    <w:rsid w:val="749F43B8"/>
    <w:rsid w:val="74D55507"/>
    <w:rsid w:val="77DDD00A"/>
    <w:rsid w:val="7C2D3E11"/>
    <w:rsid w:val="7D8775BA"/>
    <w:rsid w:val="7D9F3CE8"/>
    <w:rsid w:val="7DD32C0B"/>
    <w:rsid w:val="7E7FB419"/>
    <w:rsid w:val="7EF2E6E3"/>
    <w:rsid w:val="7EFEA78C"/>
    <w:rsid w:val="7EFECED2"/>
    <w:rsid w:val="7F6E43B6"/>
    <w:rsid w:val="7FB5C18E"/>
    <w:rsid w:val="7FDF2A8C"/>
    <w:rsid w:val="7FEF67C8"/>
    <w:rsid w:val="7FEFE432"/>
    <w:rsid w:val="7FFF4B81"/>
    <w:rsid w:val="7FFF5D9A"/>
    <w:rsid w:val="93BFC1F9"/>
    <w:rsid w:val="963E668D"/>
    <w:rsid w:val="9D9F0F9F"/>
    <w:rsid w:val="ADDFD6F5"/>
    <w:rsid w:val="B5FF328A"/>
    <w:rsid w:val="B7B501C0"/>
    <w:rsid w:val="B7FE0473"/>
    <w:rsid w:val="BB8F308F"/>
    <w:rsid w:val="BBF782E0"/>
    <w:rsid w:val="BF9A418A"/>
    <w:rsid w:val="BFBF37F9"/>
    <w:rsid w:val="BFFBF40D"/>
    <w:rsid w:val="BFFC842D"/>
    <w:rsid w:val="BFFFA992"/>
    <w:rsid w:val="C76F0782"/>
    <w:rsid w:val="D5F716FE"/>
    <w:rsid w:val="D77FAF8A"/>
    <w:rsid w:val="D7EF2151"/>
    <w:rsid w:val="DEF7D4DC"/>
    <w:rsid w:val="DFFA7A35"/>
    <w:rsid w:val="E3664DF6"/>
    <w:rsid w:val="E3DDDA53"/>
    <w:rsid w:val="EAD14E45"/>
    <w:rsid w:val="EAFF7AE6"/>
    <w:rsid w:val="EB7BB342"/>
    <w:rsid w:val="EBBFB69B"/>
    <w:rsid w:val="EDDDA3B9"/>
    <w:rsid w:val="EFDBD505"/>
    <w:rsid w:val="EFDC412C"/>
    <w:rsid w:val="EFDCF5EA"/>
    <w:rsid w:val="EFF7B158"/>
    <w:rsid w:val="F1AEB971"/>
    <w:rsid w:val="F5FF8557"/>
    <w:rsid w:val="F6B14275"/>
    <w:rsid w:val="F7756625"/>
    <w:rsid w:val="FACF93FE"/>
    <w:rsid w:val="FC375812"/>
    <w:rsid w:val="FCA3EBAF"/>
    <w:rsid w:val="FE797FA0"/>
    <w:rsid w:val="FEA77A37"/>
    <w:rsid w:val="FEFE8EF9"/>
    <w:rsid w:val="FEFFC22E"/>
    <w:rsid w:val="FF254E06"/>
    <w:rsid w:val="FF470E0F"/>
    <w:rsid w:val="FF9F2CDC"/>
    <w:rsid w:val="FFDB7AF9"/>
    <w:rsid w:val="FFDDAB56"/>
    <w:rsid w:val="FFFE2CD6"/>
    <w:rsid w:val="FFFF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0"/>
      <w:szCs w:val="30"/>
      <w:lang w:val="en-US" w:eastAsia="en-US" w:bidi="ar-SA"/>
    </w:rPr>
  </w:style>
  <w:style w:type="paragraph" w:styleId="3">
    <w:name w:val="index 7"/>
    <w:basedOn w:val="1"/>
    <w:next w:val="1"/>
    <w:qFormat/>
    <w:uiPriority w:val="0"/>
    <w:pPr>
      <w:ind w:left="252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Char"/>
    <w:basedOn w:val="10"/>
    <w:link w:val="4"/>
    <w:qFormat/>
    <w:uiPriority w:val="99"/>
    <w:rPr>
      <w:rFonts w:ascii="Times New Roman" w:hAnsi="Times New Roman" w:eastAsia="仿宋_GB2312" w:cs="Times New Roman"/>
      <w:sz w:val="18"/>
      <w:szCs w:val="20"/>
    </w:rPr>
  </w:style>
  <w:style w:type="character" w:customStyle="1" w:styleId="12">
    <w:name w:val="页眉 Char"/>
    <w:basedOn w:val="10"/>
    <w:link w:val="5"/>
    <w:qFormat/>
    <w:uiPriority w:val="0"/>
    <w:rPr>
      <w:rFonts w:ascii="Times New Roman" w:hAnsi="Times New Roman" w:eastAsia="仿宋_GB2312" w:cs="Times New Roman"/>
      <w:sz w:val="18"/>
      <w:szCs w:val="20"/>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14084</Words>
  <Characters>15264</Characters>
  <Lines>26</Lines>
  <Paragraphs>16</Paragraphs>
  <TotalTime>101</TotalTime>
  <ScaleCrop>false</ScaleCrop>
  <LinksUpToDate>false</LinksUpToDate>
  <CharactersWithSpaces>15303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2017-03-07T14:02:00Z</dcterms:created>
  <dc:creator>陈炼</dc:creator>
  <cp:lastModifiedBy>柳丁</cp:lastModifiedBy>
  <cp:lastPrinted>2017-03-11T03:07:00Z</cp:lastPrinted>
  <dcterms:modified xsi:type="dcterms:W3CDTF">2024-08-22T03:21:27Z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B925648D7E714BE7A8EF376D8E2BD319</vt:lpwstr>
  </property>
</Properties>
</file>